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MFC</w:t>
      </w:r>
      <w:r>
        <w:rPr>
          <w:rFonts w:ascii="Calibri" w:hAnsi="Calibri"/>
          <w:b/>
          <w:color w:val="1A2010"/>
          <w:sz w:val="40"/>
        </w:rPr>
        <w:t xml:space="preserve">  Manulife Financial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2026-04-14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Insurance - Life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Manulife Financial Corporation provides financial products and services in Asia, Canada, the United States, and internationally, including insurance, wealth and asset management solutions under the Manulife and John Hancock brands.</w:t>
      </w:r>
    </w:p>
    <w:p>
      <w:r>
        <w:rPr>
          <w:rFonts w:ascii="Calibri" w:hAnsi="Calibri"/>
          <w:b/>
          <w:color w:val="6E8450"/>
          <w:sz w:val="18"/>
        </w:rPr>
        <w:t>37,000 Employees · https://www.manulife.com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is modest but improving for a 137-year-old life insurer. Item 1: 1 point for incremental product refreshes and the mix-shift toward Asia and Wealth (Manulife Asia now ~50% of core earnings) [1]. Item 2: 1 point — Manulife has deployed generative AI in its Japan contact centre with 'voice bot capabilities and AI application contributing to a record high transactional NPS' [1], a concrete internal deployment but not a shipped external product. Item 3: 1 point — meaningful player in Asia life/wealth but not a category leader globally (behind AIA, Prudential plc in Asia). Item 4: 1 point — stated capital-light pivot via reinsurance of legacy LTC/VA blocks is a named pipeline with timelines [1]. Item 5: 1 point — R&amp;D/tech spend is above industry average due to Asia digital transformation investment.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floor: 2 points — 'Decisions made easier. Lives made better' is clear and customer-oriented, though not transformative. Community impact: 2 points — Manulife has committed CAD $10M+ annually to community investment through MPF, sponsors major financial-literacy programs, and runs a long-standing employee volunteer program with measurable impact. Employee retention: 1 point — large, stable global workforce of ~37,000 with roughly industry-average turnover; no standout data on exceptional tenure. Insider buying: 1 point — neutral; mix of ownership guidelines and routine transactions, CEO transition from Roy Gori to Phil Witherington in May 2025 is orderly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calculated mechanically. D/E of 48.3% is comfortably below 70% target (score 1.0). ROE 11.5% (score 0.77). Revenue -34.9% YoY reflects reinsurance transaction accounting noise (score 0.0 on this one metric). 5yr CAGR normalized ~5% (score 0.67). Forward P/E 10.4 is attractive (score 1.0). Profit margin 18.7% (score 0.93). Dividend metrics: payout ~50% (score 0.83), 25+ consecutive years paid (score 1.0), 11 consecutive years of growth (score 1.0), 5yr dividend growth CAGR ~10% (score 1.0) — CEO announced 10.2% dividend hike in Q4 2025 [1]. Liquidity: 2.44M vol x $37.28 = $91M daily, above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Manulife has a 137-year continuity, a capital-light long-term pivot, and orderly leadership succession — solid infinite-game attributes. But its relentless cost-out and capital-freeing focus under the last CEO was more finite-game optimization than Just-Cause-driven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Cause: 2 weighted points — 'Decisions made easier. Lives made better' is genuine and customer-focused, but it has not been tested through a transformative crisis in the way Sinek would require for a 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Teams: 1 weighted point — orderly CEO transition from Roy Gori to Phil Witherington (promoted from Asia CEO) signals leadership continuity, though large global insurer culture is not distinctively high-trust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Rivals: 1 weighted point — management explicitly benchmarks against AIA, Prudential plc, and Sun Life, acknowledging their strengths rather than dismissing them.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Flexibility: 1 weighted point — deliberate shift from US LTC/VA liabilities to Asia growth and Wealth/Global WAM is real strategic flexibility, executed over a decade.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Lead: 1 weighted point — willingness to accept near-term earnings noise from large reinsurance transactions to free capital is a courageous long-term move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Manulife is a capital-returning Canadian life insurance compounder with 25+ years of paid dividends, 11 consecutive years of growth, and a 10.2% dividend hike in Q4 2025 backed by record core earnings of CAD $7.5B [1]. Forward P/E of 10.4 with 3.84% yield offers defensive characteristics and a structural shift toward Asia and higher-ROE Wealth businesses. The Asia segment now contributes ~50% of core earnings, giving MFC the best growth exposure among North American life insurers. Orderly CEO succession to Phil Witherington (former Manulife Asia CEO) preserves Asia-first strategic DNA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case: reinsurance of legacy LTC blocks caused a -34.9% YoY headline revenue print (accounting noise, but a signal that the legacy book remains a drag) [1]. Forward PEG is unattractive relative to growth (low single digits), equity markets downturn would pressure Global WAM AUM and fee earnings, and Asia economic slowdown or renewed HK/China instability could stall the growth engine. Interest rate sensitivity remains material.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Asia segment core earnings growth above company average, lifting ROE toward 16% target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Further capital-freeing reinsurance transactions releasing CAD 1-2B for buybacks and dividend growth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New CEO Phil Witherington delivering on the capital-light, Asia-weighted strategic plan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Equity market correction reducing Global WAM AUM fee base and Asia variable product guarantees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Hong Kong or mainland China macro stress impacting Asia new business value (single largest growth driver)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LTC reserve strengthening charges (legacy US block) recurring despite reinsurance — actuarial assumption updates are inherently uncertain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Life insurance is a regulated, actuarial, relationship-driven business that analysts view as relatively protected from AI substitution — underwriting, policy administration, and distribution through advisors are not easily replaced [2]. However, asset management and wealth management advisory are partially exposed as robo-advisors and AI-driven planning tools pressure fee rates. Management has deployed AI internally to lower expenses (Japan contact centre voice bots improving NPS) [1]. AI Risk Protection: 6 points (PROTECTED — defensive moats from regulation and distribution, moderate exposure in Wealth). AI Opportunity: 1 point for meaningful internal AI deployment generating efficiency gains though not yet quantified as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Manulife Q4 2025 earnings release and 10.2% dividend hike announcement,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Investment Executive — 'Manulife CEO Roy Gori to retire, Phil Witherington named next CEO',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stockanalysis.com — MFC dividend history and key statistics,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