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1371600" cy="72322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371600" cy="72322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before="120" w:after="40"/>
      </w:pPr>
      <w:r>
        <w:rPr>
          <w:rFonts w:ascii="Calibri" w:hAnsi="Calibri"/>
          <w:b/>
          <w:color w:val="4A6B25"/>
          <w:sz w:val="56"/>
        </w:rPr>
        <w:t>MFG</w:t>
      </w:r>
      <w:r>
        <w:rPr>
          <w:rFonts w:ascii="Calibri" w:hAnsi="Calibri"/>
          <w:b/>
          <w:color w:val="1A2010"/>
          <w:sz w:val="40"/>
        </w:rPr>
        <w:t xml:space="preserve">  Mizuho Financial Group, Inc.</w:t>
      </w:r>
    </w:p>
    <w:p>
      <w:pPr>
        <w:spacing w:after="120"/>
      </w:pPr>
      <w:r>
        <w:rPr>
          <w:rFonts w:ascii="Calibri" w:hAnsi="Calibri"/>
          <w:b/>
          <w:color w:val="6E8450"/>
          <w:sz w:val="18"/>
        </w:rPr>
        <w:t>DIVIDEND SLEEVE · 2026-04-01 · Inspire: 0 · MIXED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1200" w:type="dxa"/>
      </w:tblPr>
      <w:tblGrid>
        <w:gridCol w:w="10800"/>
      </w:tblGrid>
      <w:tr>
        <w:tc>
          <w:tcPr>
            <w:tcW w:type="dxa" w:w="10800"/>
            <w:shd w:fill="FFF8E1" w:val="clear"/>
          </w:tcPr>
          <w:p>
            <w:pPr>
              <w:spacing w:before="40" w:after="40"/>
              <w:jc w:val="center"/>
            </w:pPr>
            <w:r>
              <w:rPr>
                <w:rFonts w:ascii="Calibri" w:hAnsi="Calibri"/>
                <w:b/>
                <w:color w:val="D97706"/>
                <w:sz w:val="20"/>
              </w:rPr>
              <w:t>HOLD</w:t>
            </w:r>
          </w:p>
        </w:tc>
      </w:tr>
    </w:tbl>
    <w:p>
      <w:pPr>
        <w:spacing w:before="120" w:after="200"/>
      </w:pPr>
      <w:r>
        <w:rPr>
          <w:rFonts w:ascii="Calibri" w:hAnsi="Calibri"/>
          <w:b/>
          <w:color w:val="1A2010"/>
          <w:sz w:val="80"/>
        </w:rPr>
        <w:t>62</w:t>
      </w:r>
      <w:r>
        <w:rPr>
          <w:rFonts w:ascii="Calibri" w:hAnsi="Calibri"/>
          <w:b w:val="0"/>
          <w:color w:val="9DAF88"/>
          <w:sz w:val="28"/>
        </w:rPr>
        <w:t xml:space="preserve"> / </w:t>
      </w:r>
      <w:r>
        <w:rPr>
          <w:rFonts w:ascii="Calibri" w:hAnsi="Calibri"/>
          <w:b w:val="0"/>
          <w:color w:val="9DAF88"/>
          <w:sz w:val="24"/>
        </w:rPr>
        <w:t>100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COMPANY PROFILE</w:t>
            </w:r>
          </w:p>
        </w:tc>
      </w:tr>
    </w:tbl>
    <w:p>
      <w:r>
        <w:rPr>
          <w:rFonts w:ascii="Calibri" w:hAnsi="Calibri"/>
          <w:b/>
          <w:color w:val="6E8450"/>
          <w:sz w:val="18"/>
        </w:rPr>
        <w:t>Financial Services · Banks - Regional · NYSE · Japan</w:t>
      </w:r>
    </w:p>
    <w:p>
      <w:pPr>
        <w:spacing w:after="80"/>
      </w:pPr>
      <w:r>
        <w:rPr>
          <w:rFonts w:ascii="Calibri" w:hAnsi="Calibri"/>
          <w:b w:val="0"/>
          <w:color w:val="3A4A28"/>
          <w:sz w:val="20"/>
        </w:rPr>
        <w:t>Mizuho Financial Group is Japan's third-largest megabank, operating through retail banking, corporate and investment banking, global markets, and asset management segments. The group serves clients across Japan, the Americas, Europe, and Asia/Oceania with $25.4B in TTM revenue, offering banking, trust, securities, and advisory services.</w:t>
      </w:r>
    </w:p>
    <w:p>
      <w:r>
        <w:rPr>
          <w:rFonts w:ascii="Calibri" w:hAnsi="Calibri"/>
          <w:b/>
          <w:color w:val="6E8450"/>
          <w:sz w:val="18"/>
        </w:rPr>
        <w:t>52,554 Employees · https://www.mizuho-fg.co.jp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EXCELLENCE EVALUATION — THINK LIKE AN OWNER (50%)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Innovation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Track Record (1/3): Mizuho has undergone a meaningful cultural and strategic transformation under CEO Masahiro Kihara since 2022, recovering from the devastating 2021 IT system failures that triggered regulatory reprimand [2]. The bank posted record profits of JPY 885.4B in FY2024 (+30.1% YoY) and announced its first share buyback in 16 years, but these represent recovery rather than category-creating innovation [1]. AI Deployment (2/2): Mizuho launched 'Wiz Chat' AI assistant for employees in June 2023 and established the AIX Promotion Office in April 2024 to drive AI transformation across the organization [2]. The company partnered with IBM on generative AI for operations and plans to eliminate ~5,000 clerical positions over the next decade through AI integration [2]. Market Share (1/2): Mizuho is Japan's third-largest megabank and a major global financial institution, but it trails MUFG and SMFG domestically and ranks behind Western peers in global investment banking [1]. Pipeline (0/2): No specific next-generation product launches with timelines identified beyond general AI transformation initiatives. R&amp;D Intensity (1/1): The AIX initiative, IBM partnership, and 'best-of-breed' multi-vendor AI strategy represent above-average technology investment for a Japanese bank [2].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Inspiration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DEVELOPING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5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2756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756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Mission Floor (2/4): Mizuho's mission centers on 'contributing to the sound development of society' and creating 'prosperity together' — clear but generic for a Japanese megabank. CEO Kihara's emphasis on fostering a 'sound corporate culture' and 'virtuous cycle of culture and strategy' shows thoughtfulness but remains institutional rather than inspiring [2]. Community Impact (1/2): Named one of TIME's World's Best Companies 2024 for innovation, sustainability, and culture [2]. However, extensive fossil fuel financing ($37.1B in 2023, ranked 2nd globally) and exit from the Net Zero Banking Alliance significantly undermine community impact claims [3]. Employee Retention (1/2): Kihara's cultural reset aims to create an environment where 'anyone can express their views' after the trust-destroying IT failures [2]. With 52,554 employees and stable Japanese employment practices, retention is likely average, though the planned elimination of 5,000 clerical positions through AI creates uncertainty [2]. Insider Buying (1/2): Mizuho announced its first share buyback in 16 years in FY2024, signaling institutional confidence, though individual insider buying data is not available for the ADR [1].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Infrastructure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16A34A"/>
          <w:sz w:val="16"/>
        </w:rPr>
        <w:t xml:space="preserve"> STRONG 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9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4961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551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Mizuho's financial profile is exceptionally strong on valuation metrics. Forward P/E of 5.7x is deeply discounted relative to global banking peers and the 20x target [1][4]. Profit margin of 26.1% is excellent for a diversified financial group. Payout ratio of 34.75% is well-managed, and the bank has paid dividends for 20+ consecutive years with significant recent increases (estimated 11.6% five-year dividend CAGR) [4]. ROE of 9.7% is improving but below the 15% target — a persistent challenge for Japanese banks due to conservative capital requirements [1]. Revenue growth has been modest at 2.4% five-year CAGR, though Q3 FY2025 showed 54% quarterly growth [1]. D/E data is unavailable for the ADR. Liquidity floor cleared at $38.3M daily turnover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FINITE VS INFINITE GAME — SINEK (25%)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Mindset: </w:t>
      </w:r>
      <w:r>
        <w:rPr>
          <w:rFonts w:ascii="Calibri" w:hAnsi="Calibri"/>
          <w:b/>
          <w:color w:val="B8860B"/>
          <w:sz w:val="22"/>
        </w:rPr>
        <w:t>MIXED</w:t>
      </w:r>
      <w:r>
        <w:rPr>
          <w:rFonts w:ascii="Calibri" w:hAnsi="Calibri"/>
          <w:b w:val="0"/>
          <w:color w:val="6E8450"/>
          <w:sz w:val="22"/>
        </w:rPr>
        <w:t xml:space="preserve">      Overall: </w:t>
      </w: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p>
      <w:pPr>
        <w:spacing w:after="120"/>
      </w:pPr>
      <w:r>
        <w:rPr>
          <w:rFonts w:ascii="Calibri" w:hAnsi="Calibri"/>
          <w:b w:val="0"/>
          <w:color w:val="3A4A28"/>
          <w:sz w:val="18"/>
        </w:rPr>
        <w:t>Mizuho demonstrates mixed infinite game characteristics. CEO Kihara's cultural transformation following the 2021 IT failures shows genuine commitment to building a more open, resilient organization. However, the gap between sustainability commitments and $37.1B in fossil fuel financing reveals a tension between stated values and profitable business lines that Sinek would view skeptically.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Just Cause</w:t>
      </w:r>
    </w:p>
    <w:p>
      <w:pPr>
        <w:spacing w:before="0" w:after="40"/>
      </w:pPr>
      <w:r>
        <w:rPr>
          <w:rFonts w:ascii="Calibri" w:hAnsi="Calibri"/>
          <w:b/>
          <w:color w:val="16A34A"/>
          <w:sz w:val="28"/>
        </w:rPr>
        <w:t>7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858"/>
            <w:shd w:fill="16A34A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1654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Mizuho's cause — contributing to society's sound development and creating 'prosperity together' — has endured since the group's founding in 2000 through the merger of three historic Japanese banks (Dai-Ichi Kangyo, Fuji, and Industrial Bank of Japan). Kihara's vision of a 'virtuous cycle of culture and strategy' adds depth [2]. However, the cause has not yet been tested through a crisis where Mizuho chose values over profit — the 2021 IT failures were a crisis of competence, not purpose. The exit from NZBA while remaining the world's 2nd-largest fossil fuel financier suggests the cause bends to commercial pressure [3]. (2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Trusting Teams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Kihara's cultural reset explicitly targets trust-building — creating an environment where 'anyone can express their views in a constructive manner' and encouraging 'new initiatives through active discussion' [2]. This was a direct response to the 2021 IT failures, which regulators attributed to a rigid, hierarchical culture. Named one of TIME's World's Best Companies 2024, suggesting progress. However, the plan to eliminate 5,000 clerical positions through AI creates trust tension with the workforce [2]. (1 pt)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Worthy Rivals</w:t>
      </w:r>
    </w:p>
    <w:p>
      <w:pPr>
        <w:spacing w:before="0" w:after="40"/>
      </w:pPr>
      <w:r>
        <w:rPr>
          <w:rFonts w:ascii="Calibri" w:hAnsi="Calibri"/>
          <w:b/>
          <w:color w:val="DC2626"/>
          <w:sz w:val="28"/>
        </w:rPr>
        <w:t>3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1654"/>
            <w:shd w:fill="DC2626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3858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Mizuho's 'best-of-breed' technology partnership approach — avoiding vendor lock-in by selecting partners based on specific strengths rather than building everything internally — shows a learning-oriented competitive mindset in AI [2]. However, Mizuho's competitive framing relative to MUFG and SMFG remains largely about ranking and market share rather than mutual improvement. (0 pts)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Existential Flexibility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Mizuho's AIX transformation — planning to automate 5,000 clerical positions and fundamentally rebuild work processes with AI as a 'source of differentiation' — represents meaningful strategic evolution for a traditionally conservative Japanese megabank [2]. The first share buyback in 16 years signals willingness to break from ingrained practices. However, these are incremental adaptations, not transformative pivots of the core banking model. (1 pt)</w:t>
      </w:r>
    </w:p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Courage To Lead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Kihara's appointment after the 2021 IT crisis and his decision to diagnose culture rather than just fix systems showed diagnostic courage [2]. The commitment to AI transformation with specific workforce impact targets (5,000 positions) is bold for a Japanese institution where lifetime employment is culturally entrenched. However, exiting the NZBA while maintaining massive fossil fuel financing ($37.1B in 2023) suggests prioritizing near-term revenue over stated long-term climate commitments [3]. (1 pt)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INVESTMENT THESIS</w:t>
            </w:r>
          </w:p>
        </w:tc>
      </w:tr>
    </w:tbl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Mizuho Financial Group trades at a deeply discounted 5.7x forward P/E with a 2.47% dividend yield and 34.75% payout ratio, offering compelling value for a Japanese megabank in the midst of a structural transformation [1][4]. FY2024 record profits of JPY 885.4B (+30.1% YoY), ROE improvement to 9.7%, and the first share buyback in 16 years signal that CEO Kihara's post-crisis reforms are delivering results [1]. The Bank of Japan's rate normalization cycle provides a powerful tailwind for net interest margins — Japanese banks benefit disproportionately from rising rates after decades of zero/negative rate policy. Mizuho's AIX strategy and planned 5,000-position automation represents proactive adaptation to AI rather than defensive cost-cutting, potentially driving sustained efficiency gains [2]. The $97B market cap remains well below Western peer valuations despite comparable global operations.</w:t>
      </w:r>
    </w:p>
    <w:p>
      <w:pPr>
        <w:spacing w:after="120"/>
      </w:pPr>
      <w:r>
        <w:rPr>
          <w:rFonts w:ascii="Calibri" w:hAnsi="Calibri"/>
          <w:b w:val="0"/>
          <w:color w:val="3A4A28"/>
          <w:sz w:val="20"/>
        </w:rPr>
        <w:t>The bear case centers on structural challenges facing Japanese megabanks and ESG risk. ROE of 9.7% remains below the 15% target and well below Western banking peers, reflecting Japan's conservative capital requirements and legacy cost structures [1]. Revenue grew only 2.4% annually over 5 years, and the FY2025 reported revenue decline of -18.85% (accounting-related) creates uncertainty about underlying growth [1]. Mizuho is the world's 2nd-largest fossil fuel financier at $37.1B in 2023 and exited the NZBA, creating material ESG risk and potential exclusion from sustainability-focused portfolios [3]. The EU antitrust investigation, coal financing loopholes, and alleged human rights concerns around projects like Rio Grande LNG and Myanmar-linked investments add governance risk [3]. The planned elimination of 5,000 clerical positions could face labor backlash in Japan's employment culture. ADR investors face yen/dollar currency risk that can significantly impact returns [4].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16A34A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CATALYSTS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Bank of Japan rate normalization driving net interest margin expansion — Japanese banks benefit disproportionately from the end of negative rate policy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AIX transformation program with IBM partnership and 5,000-position automation target delivering operational efficiency gains over the next decade [2]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Share buyback program resumption (first in 16 years) signaling improved capital return policy and potential re-rating toward global banking peer multiples [1]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DC2626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KEY RISKS</w:t>
            </w:r>
          </w:p>
        </w:tc>
      </w:tr>
    </w:tbl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1. </w:t>
      </w:r>
      <w:r>
        <w:rPr>
          <w:rFonts w:ascii="Calibri" w:hAnsi="Calibri"/>
          <w:b w:val="0"/>
          <w:color w:val="3A4A28"/>
          <w:sz w:val="20"/>
        </w:rPr>
        <w:t>Massive fossil fuel financing exposure ($37.1B in 2023, 2nd globally) and NZBA exit creating ESG exclusion risk from sustainability-mandated portfolios [3]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2. </w:t>
      </w:r>
      <w:r>
        <w:rPr>
          <w:rFonts w:ascii="Calibri" w:hAnsi="Calibri"/>
          <w:b w:val="0"/>
          <w:color w:val="3A4A28"/>
          <w:sz w:val="20"/>
        </w:rPr>
        <w:t>Structural low ROE (9.7% vs. 15% target) reflecting Japan's conservative banking regulation and legacy cost structure that may resist improvement [1]</w:t>
      </w:r>
    </w:p>
    <w:p>
      <w:pPr>
        <w:spacing w:before="40" w:after="40"/>
        <w:ind w:left="283"/>
      </w:pPr>
      <w:r>
        <w:rPr>
          <w:rFonts w:ascii="Calibri" w:hAnsi="Calibri"/>
          <w:b/>
          <w:color w:val="4A6B25"/>
          <w:sz w:val="20"/>
        </w:rPr>
        <w:t xml:space="preserve">3. </w:t>
      </w:r>
      <w:r>
        <w:rPr>
          <w:rFonts w:ascii="Calibri" w:hAnsi="Calibri"/>
          <w:b w:val="0"/>
          <w:color w:val="3A4A28"/>
          <w:sz w:val="20"/>
        </w:rPr>
        <w:t>Currency risk for ADR investors — yen depreciation against USD can erode returns even as underlying JPY earnings grow [4]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AI RESILIENCE (25%)</w:t>
            </w:r>
          </w:p>
        </w:tc>
      </w:tr>
    </w:tbl>
    <w:p>
      <w:pPr>
        <w:spacing w:before="200" w:after="40"/>
      </w:pPr>
      <w:r>
        <w:rPr>
          <w:rFonts w:ascii="Calibri" w:hAnsi="Calibri"/>
          <w:b/>
          <w:color w:val="1A2010"/>
          <w:sz w:val="22"/>
        </w:rPr>
        <w:t>AI Resilience</w:t>
      </w:r>
      <w:r>
        <w:rPr>
          <w:rFonts w:ascii="Calibri" w:hAnsi="Calibri"/>
          <w:b w:val="0"/>
          <w:color w:val="1A2010"/>
          <w:sz w:val="22"/>
        </w:rPr>
        <w:t xml:space="preserve">  </w:t>
      </w:r>
      <w:r>
        <w:rPr>
          <w:rFonts w:ascii="Calibri" w:hAnsi="Calibri"/>
          <w:b/>
          <w:color w:val="B8860B"/>
          <w:sz w:val="16"/>
        </w:rPr>
        <w:t xml:space="preserve"> MODERATE </w:t>
      </w:r>
    </w:p>
    <w:p>
      <w:pPr>
        <w:spacing w:before="0" w:after="40"/>
      </w:pPr>
      <w:r>
        <w:rPr>
          <w:rFonts w:ascii="Calibri" w:hAnsi="Calibri"/>
          <w:b/>
          <w:color w:val="B8860B"/>
          <w:sz w:val="28"/>
        </w:rPr>
        <w:t>6</w:t>
      </w:r>
      <w:r>
        <w:rPr>
          <w:rFonts w:ascii="Calibri" w:hAnsi="Calibri"/>
          <w:b w:val="0"/>
          <w:color w:val="9DAF88"/>
          <w:sz w:val="18"/>
        </w:rPr>
        <w:t xml:space="preserve"> /10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3500" w:type="dxa"/>
      </w:tblPr>
      <w:tblGrid>
        <w:gridCol w:w="5400"/>
        <w:gridCol w:w="5400"/>
      </w:tblGrid>
      <w:tr>
        <w:trPr>
          <w:trHeight w:val="170"/>
        </w:trPr>
        <w:tc>
          <w:tcPr>
            <w:tcW w:type="dxa" w:w="3307"/>
            <w:shd w:fill="B8860B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  <w:tc>
          <w:tcPr>
            <w:tcW w:type="dxa" w:w="2205"/>
            <w:shd w:fill="EDEFE8" w:val="clear"/>
          </w:tcPr>
          <w:p>
            <w:pPr>
              <w:spacing w:before="0" w:after="0"/>
            </w:pPr>
            <w:r>
              <w:rPr>
                <w:rFonts w:ascii="Calibri" w:hAnsi="Calibri"/>
                <w:b w:val="0"/>
                <w:color w:val="1A2010"/>
                <w:sz w:val="4"/>
              </w:rPr>
            </w:r>
          </w:p>
        </w:tc>
      </w:tr>
    </w:tbl>
    <w:p>
      <w:pPr>
        <w:spacing w:before="60" w:after="120"/>
      </w:pPr>
      <w:r>
        <w:rPr>
          <w:rFonts w:ascii="Calibri" w:hAnsi="Calibri"/>
          <w:b w:val="0"/>
          <w:color w:val="3A4A28"/>
          <w:sz w:val="18"/>
        </w:rPr>
        <w:t>AI Risk Protection (5/9): Banking faces meaningful AI disruption across several business lines — Mizuho itself plans to eliminate 5,000 clerical positions through AI automation, demonstrating the sector's vulnerability to internal displacement [2]. AI-powered fintech challengers could erode fee income in retail banking, payments, and wealth management. However, the core banking infrastructure — regulated deposit-taking, lending relationships, capital markets intermediation, and Japanese megabank cross-shareholding networks — creates substantial defensive moats that pure AI companies cannot easily replicate. Regulatory barriers to banking remain formidable across all jurisdictions [2]. AI Opportunity (1/1): Mizuho generates AI-related value through its AIX platform, Wiz Chat deployment to employees, IBM partnership for generative AI in operations, and plans to redeploy savings from clerical automation into higher-value activities [2].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FAITH ALIGNMENT — INSPIRE INSIGHT</w:t>
            </w:r>
          </w:p>
        </w:tc>
      </w:tr>
    </w:tbl>
    <w:p>
      <w:pPr>
        <w:spacing w:after="40"/>
      </w:pPr>
      <w:r>
        <w:rPr>
          <w:rFonts w:ascii="Calibri" w:hAnsi="Calibri"/>
          <w:b w:val="0"/>
          <w:color w:val="6E8450"/>
          <w:sz w:val="22"/>
        </w:rPr>
        <w:t xml:space="preserve">Inspire Impact Score:  </w:t>
      </w:r>
      <w:r>
        <w:rPr>
          <w:rFonts w:ascii="Calibri" w:hAnsi="Calibri"/>
          <w:b/>
          <w:color w:val="16A34A"/>
          <w:sz w:val="28"/>
        </w:rPr>
        <w:t>0</w:t>
      </w:r>
      <w:r>
        <w:rPr>
          <w:rFonts w:ascii="Calibri" w:hAnsi="Calibri"/>
          <w:b/>
          <w:color w:val="B8860B"/>
          <w:sz w:val="20"/>
        </w:rPr>
        <w:t xml:space="preserve">    MIXED</w:t>
      </w:r>
    </w:p>
    <w:p>
      <w:pPr>
        <w:spacing w:before="120"/>
      </w:pPr>
      <w:r>
        <w:rPr>
          <w:rFonts w:ascii="Calibri" w:hAnsi="Calibri"/>
          <w:b w:val="0"/>
          <w:color w:val="9DAF88"/>
          <w:sz w:val="15"/>
        </w:rPr>
        <w:t>Source: Inspire Insight</w:t>
      </w:r>
    </w:p>
    <w:tbl>
      <w:tblPr>
        <w:jc w:val="left"/>
        <w:tblLook w:firstColumn="1" w:firstRow="1" w:lastColumn="0" w:lastRow="0" w:noHBand="0" w:noVBand="1" w:val="04A0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W w:w="5000" w:type="pct"/>
      </w:tblPr>
      <w:tblGrid>
        <w:gridCol w:w="10800"/>
      </w:tblGrid>
      <w:tr>
        <w:tc>
          <w:tcPr>
            <w:tcW w:type="dxa" w:w="10800"/>
            <w:tcBorders>
              <w:bottom w:val="single" w:sz="8" w:space="0" w:color="B8860B"/>
            </w:tcBorders>
          </w:tcPr>
          <w:p>
            <w:pPr>
              <w:spacing w:before="240" w:after="80"/>
            </w:pPr>
            <w:r>
              <w:rPr>
                <w:rFonts w:ascii="Calibri" w:hAnsi="Calibri"/>
                <w:b/>
                <w:color w:val="6E8450"/>
                <w:sz w:val="17"/>
              </w:rPr>
              <w:t>RESOURCES</w:t>
            </w:r>
          </w:p>
        </w:tc>
      </w:tr>
    </w:tbl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1. </w:t>
      </w:r>
      <w:r>
        <w:rPr>
          <w:rFonts w:ascii="Calibri" w:hAnsi="Calibri"/>
          <w:b w:val="0"/>
          <w:color w:val="3A4A28"/>
          <w:sz w:val="17"/>
        </w:rPr>
        <w:t>Mizuho Financial Group FY2024 and Q3 FY2025 Financial Results — JPY 885.4B record profit, 9.7% ROE, first buyback in 16 years, February 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2. </w:t>
      </w:r>
      <w:r>
        <w:rPr>
          <w:rFonts w:ascii="Calibri" w:hAnsi="Calibri"/>
          <w:b w:val="0"/>
          <w:color w:val="3A4A28"/>
          <w:sz w:val="17"/>
        </w:rPr>
        <w:t>Klover.ai / Asian Banker / IBM Newsroom — Mizuho AI Strategy (AIX), CEO Kihara cultural transformation, Wiz Chat launch, 5,000 position automation,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3. </w:t>
      </w:r>
      <w:r>
        <w:rPr>
          <w:rFonts w:ascii="Calibri" w:hAnsi="Calibri"/>
          <w:b w:val="0"/>
          <w:color w:val="3A4A28"/>
          <w:sz w:val="17"/>
        </w:rPr>
        <w:t>350.org / BankTrack / Oil Change International — Mizuho fossil fuel financing $37.1B (2023), NZBA exit, coal financing loopholes, Rio Grande LNG controversy, 2024-2026</w:t>
      </w:r>
    </w:p>
    <w:p>
      <w:pPr>
        <w:spacing w:before="20" w:after="20"/>
        <w:ind w:left="170"/>
      </w:pPr>
      <w:r>
        <w:rPr>
          <w:rFonts w:ascii="Calibri" w:hAnsi="Calibri"/>
          <w:b/>
          <w:color w:val="4A6B25"/>
          <w:sz w:val="15"/>
        </w:rPr>
        <w:t xml:space="preserve">4. </w:t>
      </w:r>
      <w:r>
        <w:rPr>
          <w:rFonts w:ascii="Calibri" w:hAnsi="Calibri"/>
          <w:b w:val="0"/>
          <w:color w:val="3A4A28"/>
          <w:sz w:val="17"/>
        </w:rPr>
        <w:t>Yahoo Finance / yfinance data for MFG (Mizuho Financial Group ADR), retrieved April 1, 2026</w:t>
      </w:r>
    </w:p>
    <w:p>
      <w:pPr>
        <w:spacing w:before="400"/>
        <w:jc w:val="center"/>
      </w:pPr>
      <w:r>
        <w:rPr>
          <w:rFonts w:ascii="Calibri" w:hAnsi="Calibri"/>
          <w:b w:val="0"/>
          <w:color w:val="9DAF88"/>
          <w:sz w:val="16"/>
        </w:rPr>
        <w:t>Paradiem, LLC dba Intentional Ownership (“IOWN”) is a registered investment advisor. The information provided is for educational and informational purposes only and does not constitute investment advice.</w:t>
      </w:r>
    </w:p>
    <w:sectPr w:rsidR="00FC693F" w:rsidRPr="0006063C" w:rsidSect="00034616">
      <w:pgSz w:w="12240" w:h="1584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