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MFIC</w:t>
      </w:r>
      <w:r>
        <w:rPr>
          <w:rFonts w:ascii="Calibri" w:hAnsi="Calibri"/>
          <w:b/>
          <w:color w:val="1A2010"/>
          <w:sz w:val="40"/>
        </w:rPr>
        <w:t xml:space="preserve">  MidCap Financial Investment Corporation</w:t>
      </w:r>
    </w:p>
    <w:p>
      <w:pPr>
        <w:spacing w:after="120"/>
      </w:pPr>
      <w:r>
        <w:rPr>
          <w:rFonts w:ascii="Calibri" w:hAnsi="Calibri"/>
          <w:b/>
          <w:color w:val="6E8450"/>
          <w:sz w:val="18"/>
        </w:rPr>
        <w:t>DIVIDEND SLEEVE · 2026-05-06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MidCap Financial Investment Corporation is an externally managed, publicly traded Business Development Company (BDC) focused on providing senior debt solutions to middle market companies. Formerly known as Apollo Investment Corporation, MFIC primarily invests in first lien senior secured loans originated by MidCap Financial, which is discretionally managed by Apollo Global Management.</w:t>
      </w:r>
    </w:p>
    <w:p>
      <w:r>
        <w:rPr>
          <w:rFonts w:ascii="Calibri" w:hAnsi="Calibri"/>
          <w:b/>
          <w:color w:val="6E8450"/>
          <w:sz w:val="18"/>
        </w:rPr>
        <w:t>https://www.midcapfinancialic.com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MFIC operates as an externally managed BDC with no proprietary technology, R&amp;D function, or product innovation capability [1]. The company's sole value proposition is channeling Apollo's middle-market origination pipeline into a publicly traded vehicle — a commodity structure replicated by dozens of competing BDCs. The 2022 rebrand from Apollo Investment Corporation to MidCap Financial Investment was cosmetic rather than strategic, and the fund has not differentiated its lending approach or portfolio construction methodology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MFIC's mission is purely financial — providing yield to shareholders through middle-market lending — with no articulated purpose beyond capital deployment [1]. Leadership under CEO Tanner Powell (appointed 2022) and Executive Chairman Howard Widra operates through Apollo's infrastructure, leaving MFIC with no standalone culture or employee base [2]. The 18.4% dividend cut in Q1 2026 from $0.38 to $0.31/share eroded shareholder trust and signals misalignment between distribution promises and underlying earnings power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MFIC shows mixed financial health: the forward P/E of 9.4x is attractively valued and profit margin of 19.7% is respectable for a BDC [1]. However, D/E of 152.6% reflects heavy leverage inherent to the BDC model, ROE of 4.7% is weak, and revenue declined 4.6% YoY with 2026 revenue forecast down a further 8.9% to $292M [3]. The dividend payout ratio of 182% (EPS basis) is unsustainable, and the recent distribution cut broke any growth streak despite 22 years of continuous payments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MFIC operates with a quintessentially finite mindset — an externally managed vehicle designed to extract management fees for Apollo while distributing income to shareholders. The recent dividend cut, lack of strategic vision beyond yield generation, and dependence on an external manager leave no foundation for infinite-game attributes.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MFIC articulates no just cause beyond providing middle-market credit and shareholder income. The fund exists as a fee-generating vehicle for Apollo Global Management rather than pursuing any transformative mission in financial services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an externally managed BDC, MFIC has no direct employees or internal team culture. All investment decisions are made by Apollo affiliates, creating an inherent principal-agent conflict where management fees are prioritized over unitholder returns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MFIC faces intense competition from larger BDCs (ARCC, MAIN, FSLY) and private credit funds but has not adapted its strategy in response. The fund's underperformance versus peers like Ares Capital suggests limited learning from competitive dynamics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rebrand and merger with two Apollo-affiliated BDCs showed some willingness to restructure, and the 2026 dividend reset demonstrates pragmatic adaptation to lower base rates [3]. However, these moves were reactive rather than visionary.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not demonstrated courage to lead — the external management structure extracts above-market fees, no internalization has been pursued despite shareholder advocacy, and the dividend cut was delayed until earnings pressure became undeniable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MFIC offers a 10.1% distribution yield backed by Apollo Global Management's middle-market origination engine, providing access to institutional-quality direct lending through a publicly traded vehicle [1]. The forward P/E of 9.4x reflects depressed expectations, creating potential upside if base rates stabilize and credit quality holds. Apollo's $670B+ AUM platform provides unmatched deal flow and workout capabilities that benefit MFIC's portfolio quality [2].</w:t>
      </w:r>
    </w:p>
    <w:p>
      <w:pPr>
        <w:spacing w:after="120"/>
      </w:pPr>
      <w:r>
        <w:rPr>
          <w:rFonts w:ascii="Calibri" w:hAnsi="Calibri"/>
          <w:b w:val="0"/>
          <w:color w:val="3A4A28"/>
          <w:sz w:val="20"/>
        </w:rPr>
        <w:t>The bear case is substantial: the 18.4% dividend cut in Q1 2026 signals structural earnings pressure as floating-rate income declines, with analysts forecasting a further 8.9% revenue decline in 2026 [3]. The 152.6% D/E ratio magnifies credit cycle risk, and the external management structure creates persistent fee drag — Apollo earns regardless of MFIC's stock performance. The BDC sector faces secular headwinds as private credit funds and institutional investors compress middle-market spreads, and MFIC's ROE of 4.7% fails to justify the leverage employed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 rate stabilization could arrest NII decline and support current distribution levels</w:t>
      </w:r>
    </w:p>
    <w:p>
      <w:pPr>
        <w:spacing w:before="40" w:after="40"/>
        <w:ind w:left="283"/>
      </w:pPr>
      <w:r>
        <w:rPr>
          <w:rFonts w:ascii="Calibri" w:hAnsi="Calibri"/>
          <w:b/>
          <w:color w:val="4A6B25"/>
          <w:sz w:val="20"/>
        </w:rPr>
        <w:t xml:space="preserve">2. </w:t>
      </w:r>
      <w:r>
        <w:rPr>
          <w:rFonts w:ascii="Calibri" w:hAnsi="Calibri"/>
          <w:b w:val="0"/>
          <w:color w:val="3A4A28"/>
          <w:sz w:val="20"/>
        </w:rPr>
        <w:t>Apollo's growing private credit AUM could improve MFIC's access to higher-quality originations</w:t>
      </w:r>
    </w:p>
    <w:p>
      <w:pPr>
        <w:spacing w:before="40" w:after="40"/>
        <w:ind w:left="283"/>
      </w:pPr>
      <w:r>
        <w:rPr>
          <w:rFonts w:ascii="Calibri" w:hAnsi="Calibri"/>
          <w:b/>
          <w:color w:val="4A6B25"/>
          <w:sz w:val="20"/>
        </w:rPr>
        <w:t xml:space="preserve">3. </w:t>
      </w:r>
      <w:r>
        <w:rPr>
          <w:rFonts w:ascii="Calibri" w:hAnsi="Calibri"/>
          <w:b w:val="0"/>
          <w:color w:val="3A4A28"/>
          <w:sz w:val="20"/>
        </w:rPr>
        <w:t>Potential management internalization could eliminate fee drag and align incentives with shareholders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base rate declines could force additional distribution cuts beyond the Q1 2026 reduction</w:t>
      </w:r>
    </w:p>
    <w:p>
      <w:pPr>
        <w:spacing w:before="40" w:after="40"/>
        <w:ind w:left="283"/>
      </w:pPr>
      <w:r>
        <w:rPr>
          <w:rFonts w:ascii="Calibri" w:hAnsi="Calibri"/>
          <w:b/>
          <w:color w:val="4A6B25"/>
          <w:sz w:val="20"/>
        </w:rPr>
        <w:t xml:space="preserve">2. </w:t>
      </w:r>
      <w:r>
        <w:rPr>
          <w:rFonts w:ascii="Calibri" w:hAnsi="Calibri"/>
          <w:b w:val="0"/>
          <w:color w:val="3A4A28"/>
          <w:sz w:val="20"/>
        </w:rPr>
        <w:t>Credit cycle deterioration in middle-market leveraged loans could trigger elevated defaults and NAV erosion</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perpetuates misaligned incentives with no clear path to internalization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Middle-market direct lending is relationship-driven and unlikely to be fully automated by AI in the near term, providing moderate insulation [1]. However, Apollo's scale advantage in AI-enhanced credit underwriting and portfolio monitoring could benefit MFIC's loan selection process. The primary AI risk is indirect: AI-driven fintech lenders and automated underwriting platforms (e.g., Upstart, Fundbox) could compress spreads in the middle market by offering faster, cheaper credit decisions, though MFIC's focus on $20-250M deals serves a segment too large for most fintech disruptors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MFIC key statistics and financial data, accessed May 2026</w:t>
      </w:r>
    </w:p>
    <w:p>
      <w:pPr>
        <w:spacing w:before="20" w:after="20"/>
        <w:ind w:left="170"/>
      </w:pPr>
      <w:r>
        <w:rPr>
          <w:rFonts w:ascii="Calibri" w:hAnsi="Calibri"/>
          <w:b/>
          <w:color w:val="4A6B25"/>
          <w:sz w:val="15"/>
        </w:rPr>
        <w:t xml:space="preserve">2. </w:t>
      </w:r>
      <w:r>
        <w:rPr>
          <w:rFonts w:ascii="Calibri" w:hAnsi="Calibri"/>
          <w:b w:val="0"/>
          <w:color w:val="3A4A28"/>
          <w:sz w:val="17"/>
        </w:rPr>
        <w:t>MidCap Financial Investment Corporation investor presentation, November 2025</w:t>
      </w:r>
    </w:p>
    <w:p>
      <w:pPr>
        <w:spacing w:before="20" w:after="20"/>
        <w:ind w:left="170"/>
      </w:pPr>
      <w:r>
        <w:rPr>
          <w:rFonts w:ascii="Calibri" w:hAnsi="Calibri"/>
          <w:b/>
          <w:color w:val="4A6B25"/>
          <w:sz w:val="15"/>
        </w:rPr>
        <w:t xml:space="preserve">3. </w:t>
      </w:r>
      <w:r>
        <w:rPr>
          <w:rFonts w:ascii="Calibri" w:hAnsi="Calibri"/>
          <w:b w:val="0"/>
          <w:color w:val="3A4A28"/>
          <w:sz w:val="17"/>
        </w:rPr>
        <w:t>MidCap Financial Investment Q4 2025 earnings release and 2026 revenue forecast, Zacks/MarketBeat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