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MGA</w:t>
      </w:r>
      <w:r>
        <w:rPr>
          <w:rFonts w:ascii="Calibri" w:hAnsi="Calibri"/>
          <w:b/>
          <w:color w:val="1A2010"/>
          <w:sz w:val="40"/>
        </w:rPr>
        <w:t xml:space="preserve">  Magna International Inc.</w:t>
      </w:r>
    </w:p>
    <w:p>
      <w:pPr>
        <w:spacing w:after="120"/>
      </w:pPr>
      <w:r>
        <w:rPr>
          <w:rFonts w:ascii="Calibri" w:hAnsi="Calibri"/>
          <w:b/>
          <w:color w:val="6E8450"/>
          <w:sz w:val="18"/>
        </w:rPr>
        <w:t>DIVIDEND SLEEVE · 2026-04-20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Canada</w:t>
      </w:r>
    </w:p>
    <w:p>
      <w:pPr>
        <w:spacing w:after="80"/>
      </w:pPr>
      <w:r>
        <w:rPr>
          <w:rFonts w:ascii="Calibri" w:hAnsi="Calibri"/>
          <w:b w:val="0"/>
          <w:color w:val="3A4A28"/>
          <w:sz w:val="20"/>
        </w:rPr>
        <w:t>Magna International is one of the world's largest automotive suppliers, operating through four segments: Body Exteriors &amp; Structures, Power &amp; Vision, Seating Systems, and Complete Vehicles. The company serves global OEMs across ICE, hybrid, and EV platforms with a 'powertrain agnostic' strategy, and is headquartered in Aurora, Ontario.</w:t>
      </w:r>
    </w:p>
    <w:p>
      <w:r>
        <w:rPr>
          <w:rFonts w:ascii="Calibri" w:hAnsi="Calibri"/>
          <w:b/>
          <w:color w:val="6E8450"/>
          <w:sz w:val="18"/>
        </w:rPr>
        <w:t>156,000 Employees · https://www.magna.com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Magna has incrementally expanded into EV battery enclosures, ADAS systems, and complete vehicle assembly for Chinese OEMs like XPENG and GAC, but these are extensions of existing capabilities rather than transformative pivots [1]. Revenue declined 1.93% in 2025 to $42.01B, reflecting flat industry demand. AI Deployment (1/2): Magna deploys AI in manufacturing processes and ADAS sensor systems (cameras, radar, compute units) but has not disclosed specific AI-driven revenue or cost savings figures [2]. Market Share (1/2): Magna is a top-3 global auto parts supplier with leadership in complete vehicle assembly and body structures, though market share is fragmenting as Chinese competitors emerge [1]. Pipeline (1/2): 2026 guidance of $41.9-43.5B with adjusted EBIT margin expansion to 6.0-6.6% and EPS of $6.25-$7.25, plus new business wins with Chinese OEMs for EV assembly [1]. R&amp;D Intensity (1/1): Significant investment in ADAS, battery enclosures, and powertrain-agnostic solutions relative to auto parts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Magna describes itself as a 'mobility company that innovates like a startup and thinks like a technology company,' built on a culture of fairness, accountability, integrity, and entrepreneurialism [2]. The mission is clear about what the company does but does not articulate a deeper purpose beyond industry leadership. Community Impact (1/2): Magna employs 156,000 people globally and maintains the Magna Hotline for reporting workplace and supplier ethics issues, with a corporate responsibility framework aligned to seven UN SDGs [3]. Employee Retention (1/2): Glassdoor rating of 3.7/5 from 4,043 reviews is average for the industry. Mixed feedback on leadership — some employees note an 'outdated vibe' with older leadership set in their ways, though entrepreneurial culture is cited positively [2]. Insider Buying (1/2): CEO Kotagiri has $19.49M in total compensation with 93.6% in stock-based awards, creating meaningful alignment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Magna's financial profile shows a well-managed balance sheet with D/E of 52.1% (well below the 70% target) and a remarkably low forward P/E of 8.0x, reflecting deep value pricing for the auto parts sector [4]. ROE of 7.1% is below the 15% target, reflecting the capital-intensive nature of contract manufacturing. Profit margin of 2.0% is thin by any standard, though the 2026 guidance targets 6.0-6.6% adjusted EBIT margins, suggesting improvement ahead [1]. The dividend has been paid for 35 consecutive years with 14 years of consecutive growth and a 4.0% 5-year CAGR — a reliable income stream at 3.27% yield [4]. Payout ratio of 66% is elevated but sustainable given the stable cash flow profile. Liquidity floor easily cleared at $119M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Magna has endured for nearly 70 years through multiple automotive industry cycles, demonstrating resilience. CEO Kotagiri's 'powertrain agnostic' strategy shows pragmatic long-term thinking, but the company's framing of competition and growth remains finite — focused on market share capture and margin expansion rather than a transformative vision for mobility.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Magna's purpose revolves around being a leading mobility technology company, but this reads more as a market positioning statement than a Just Cause [2]. The company has survived since 1957 through adaptability, but its strategic narrative is about winning OEM contracts and expanding margins rather than advancing a vision of a better future. The 'innovate like a startup' tagline is aspirational but not validated by transformative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Magna's 156,000-employee workforce spans global manufacturing operations with a culture built on founder Frank Stronach's principles of fairness and entrepreneurialism [2]. The Glassdoor rating of 3.7/5 is respectable, and the ethics hotline for reporting issues suggests governance infrastructure. However, mixed reviews about leadership being 'older and set in their ways' suggest room for improvement in organizational trust and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Kotagiri explicitly discusses collaborative risk-sharing with OEMs and positions competitors' strengths as motivation to improve [2]. The partnership approach with Chinese OEMs like XPENG and GAC — rather than treating them as threats — demonstrates an infinite competitive mindset focused on learning and adaptation rather than zero-sum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Magna has evolved from a traditional stamping company to a complete vehicle manufacturer and ADAS supplier, entering battery enclosures and EV architecture [1]. The 'powertrain agnostic' pivot demonstrates strategic flexibility. However, these are incremental extensions of existing manufacturing capabilities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Magna's investment in EV battery enclosures and ADAS during a period of ICE-to-EV uncertainty shows some willingness to invest in long-term capability [1]. The 2026 guidance prioritizing margin expansion to 6.0-6.6% over revenue growth signals discipline. However, the company's strategic moves have been largely reactive to industry trends rather than defining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Magna International is a deeply undervalued auto parts giant trading at just 8x forward earnings with a 3.27% dividend yield and 35 years of consecutive payments. The 2026 guidance of $41.9-43.5B revenue with adjusted EPS of $6.25-$7.25 and margin expansion to 6.0-6.6% suggests improving profitability, while new EV assembly wins with Chinese OEMs like XPENG and GAC provide growth vectors [1].</w:t>
      </w:r>
    </w:p>
    <w:p>
      <w:pPr>
        <w:spacing w:after="120"/>
      </w:pPr>
      <w:r>
        <w:rPr>
          <w:rFonts w:ascii="Calibri" w:hAnsi="Calibri"/>
          <w:b w:val="0"/>
          <w:color w:val="3A4A28"/>
          <w:sz w:val="20"/>
        </w:rPr>
        <w:t>The 'powertrain agnostic' strategy positions Magna to capture value regardless of how the ICE-to-EV transition plays out, and the PEG ratio of 0.35 suggests the market is significantly underpricing the company's earnings growth potential [4]. However, thin GAAP margins of ~2%, cyclical auto industry exposure, and the structural shift toward software-defined vehicles present headwinds that limit upside conviction. Magna is a value play in a challenged industry — appropriate for income investors seeking reliable dividends rather than capital appreciation.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 margin expansion to 6.0-6.6% in 2026 (40-100bps improvement), with EPS guidance of $6.25-$7.25 above Street estimates [1]</w:t>
      </w:r>
    </w:p>
    <w:p>
      <w:pPr>
        <w:spacing w:before="40" w:after="40"/>
        <w:ind w:left="283"/>
      </w:pPr>
      <w:r>
        <w:rPr>
          <w:rFonts w:ascii="Calibri" w:hAnsi="Calibri"/>
          <w:b/>
          <w:color w:val="4A6B25"/>
          <w:sz w:val="20"/>
        </w:rPr>
        <w:t xml:space="preserve">2. </w:t>
      </w:r>
      <w:r>
        <w:rPr>
          <w:rFonts w:ascii="Calibri" w:hAnsi="Calibri"/>
          <w:b w:val="0"/>
          <w:color w:val="3A4A28"/>
          <w:sz w:val="20"/>
        </w:rPr>
        <w:t>New complete vehicle assembly contracts with Chinese EV OEMs (XPENG, GAC) opening high-growth international market exposure [1]</w:t>
      </w:r>
    </w:p>
    <w:p>
      <w:pPr>
        <w:spacing w:before="40" w:after="40"/>
        <w:ind w:left="283"/>
      </w:pPr>
      <w:r>
        <w:rPr>
          <w:rFonts w:ascii="Calibri" w:hAnsi="Calibri"/>
          <w:b/>
          <w:color w:val="4A6B25"/>
          <w:sz w:val="20"/>
        </w:rPr>
        <w:t xml:space="preserve">3. </w:t>
      </w:r>
      <w:r>
        <w:rPr>
          <w:rFonts w:ascii="Calibri" w:hAnsi="Calibri"/>
          <w:b w:val="0"/>
          <w:color w:val="3A4A28"/>
          <w:sz w:val="20"/>
        </w:rPr>
        <w:t>Forward P/E of 8.0x and PEG of 0.35 suggest deep value — any positive earnings revision could drive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auto industry exposure with 2025 revenue declining 1.93% YoY; tariff escalation or recession could further compress volumes and margins</w:t>
      </w:r>
    </w:p>
    <w:p>
      <w:pPr>
        <w:spacing w:before="40" w:after="40"/>
        <w:ind w:left="283"/>
      </w:pPr>
      <w:r>
        <w:rPr>
          <w:rFonts w:ascii="Calibri" w:hAnsi="Calibri"/>
          <w:b/>
          <w:color w:val="4A6B25"/>
          <w:sz w:val="20"/>
        </w:rPr>
        <w:t xml:space="preserve">2. </w:t>
      </w:r>
      <w:r>
        <w:rPr>
          <w:rFonts w:ascii="Calibri" w:hAnsi="Calibri"/>
          <w:b w:val="0"/>
          <w:color w:val="3A4A28"/>
          <w:sz w:val="20"/>
        </w:rPr>
        <w:t>Thin GAAP profit margins of ~2% leave minimal buffer for cost overruns, warranty claims, or input cost inflation in the manufacturing base</w:t>
      </w:r>
    </w:p>
    <w:p>
      <w:pPr>
        <w:spacing w:before="40" w:after="40"/>
        <w:ind w:left="283"/>
      </w:pPr>
      <w:r>
        <w:rPr>
          <w:rFonts w:ascii="Calibri" w:hAnsi="Calibri"/>
          <w:b/>
          <w:color w:val="4A6B25"/>
          <w:sz w:val="20"/>
        </w:rPr>
        <w:t xml:space="preserve">3. </w:t>
      </w:r>
      <w:r>
        <w:rPr>
          <w:rFonts w:ascii="Calibri" w:hAnsi="Calibri"/>
          <w:b w:val="0"/>
          <w:color w:val="3A4A28"/>
          <w:sz w:val="20"/>
        </w:rPr>
        <w:t>Structural shift toward software-defined vehicles may concentrate value in technology layers where Magna has less competitive moat than in physical components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Magna's core business — manufacturing physical auto components, body structures, and complete vehicles — involves complex physical-world operations that AI cannot replace [2]. However, AI-driven autonomous vehicles could reshape the auto industry's supply chain in ways that create both opportunities and disruption for parts suppliers. The shift toward software-defined vehicles concentrates value in software layers where Magna has less moat. ADAS and sensor systems face competitive pressure from pure-play tech companies (Mobileye, NVIDIA). The 'powertrain agnostic' strategy helps hedge the ICE-to-EV transition but doesn't address the software-over-hardware trend. AI Opportunity (1/1): Magna generates revenue from ADAS products including cameras, thermal sensing, radar, and compute units — tangible AI-adjacent products shipping to OEM customers today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Magna International Q4 2025 Earnings Release and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CEO Interview, Glassdoor Reviews, and Comparably Leadership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and Magna Corporate Responsibility Framework,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MGA key statistics and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