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MGM</w:t>
      </w:r>
      <w:r>
        <w:rPr>
          <w:rFonts w:ascii="Calibri" w:hAnsi="Calibri"/>
          <w:b/>
          <w:color w:val="1A2010"/>
          <w:sz w:val="40"/>
        </w:rPr>
        <w:t xml:space="preserve">  MGM Resorts International</w:t>
      </w:r>
    </w:p>
    <w:p>
      <w:pPr>
        <w:spacing w:after="120"/>
      </w:pPr>
      <w:r>
        <w:rPr>
          <w:rFonts w:ascii="Calibri" w:hAnsi="Calibri"/>
          <w:b/>
          <w:color w:val="6E8450"/>
          <w:sz w:val="18"/>
        </w:rPr>
        <w:t>GROWTH SLEEVE · 2026-03-31 · Inspire: -77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Resorts &amp; Casinos · NYSE · United States</w:t>
      </w:r>
    </w:p>
    <w:p>
      <w:pPr>
        <w:spacing w:after="80"/>
      </w:pPr>
      <w:r>
        <w:rPr>
          <w:rFonts w:ascii="Calibri" w:hAnsi="Calibri"/>
          <w:b w:val="0"/>
          <w:color w:val="3A4A28"/>
          <w:sz w:val="20"/>
        </w:rPr>
        <w:t>MGM Resorts International operates casino resorts offering gaming, hotel, convention, dining, entertainment, and retail amenities across Las Vegas Strip properties, regional U.S. operations, MGM China (Macau), and the BetMGM digital gaming platform. The company manages approximately 37,000 guest rooms on the Las Vegas Strip, representing about one-fourth of all units in the market.</w:t>
      </w:r>
    </w:p>
    <w:p>
      <w:r>
        <w:rPr>
          <w:rFonts w:ascii="Calibri" w:hAnsi="Calibri"/>
          <w:b/>
          <w:color w:val="6E8450"/>
          <w:sz w:val="18"/>
        </w:rPr>
        <w:t>60,000 Employees · https://www.mgmresorts.com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MGM delivered record revenue driven by Macau recovery (MGM China record performance) and BetMGM scaling to $2.8B net revenue with positive Adjusted EBITDA in 2025 — the digital pivot from purely physical casinos to omnichannel gaming is a meaningful transformation [1]. Q4 2025 Adjusted EBITDA surged 20% to $635M. AI Deployment (1/2): MGM recruits from Amazon and eBay to build advanced analytics and marketing capabilities on a database 'on par with any major bank,' but no specific AI-powered products or quantified AI savings were disclosed [2]. Market Share (2/2): MGM is the largest resort operator on the Las Vegas Strip with ~37,000 rooms (one-fourth of the market), a dominant Macau presence through MGM China, and BetMGM is a top-3 U.S. online sports betting and iGaming platform [1]. Pipeline (1/2): Japan integrated resort construction underway in Osaka (multibillion-dollar investment), MGM Grand Las Vegas renovations completing, and BetMGM 2026 guidance above $3.1B net revenue with higher profitability [1]. R&amp;D Intensity (0/1): No formal R&amp;D spend disclosed; technology investment flows through operating budgets and digital platform development rather than dedicated research programs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MGM's 'Focused on What Matters: Embracing Humanity and Protecting the Planet' ESG framework aligned to UN SDGs is more thoughtful than typical casino operators, with concrete long-term goals in diversity, community, and sustainability [3]. However, the inherent nature of the gambling business limits the depth of mission-driven purpose. Community Impact (2/2): MGM employs 60,000 people, earned CDP double-A rating for climate transparency, targets 100% renewable electricity in the U.S. and 50% Scope 1/2 emissions reduction by 2030, and maintains significant Las Vegas community investment as the Strip's largest employer [3]. Employee Retention (0/2): Glassdoor reviews describe a 'highly hierarchical' culture with 'palace-like offices' for senior leaders while lower-level employees work in 'outdated cubicles'; high turnover cited due to 'ineffective leadership' and diversity efforts perceived as 'all for show' [2]. Insider Buying (1/2): CEO Bill Hornbuckle's C-suite restructuring (new COO Ayesha Molino, new CCO Gary Fritz) shows strategic conviction, and share buybacks signal capital allocation confidence, but no specific insider buying data identified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MGM's financial profile reflects a leveraged entertainment company with improving earnings trajectory. D/E of 963% is well above the 300% floor, reflecting REIT-like real estate leverage typical of the casino industry (VICI Properties owns many MGM properties) [4]. ROE of 14.9% is close to the 15% target, demonstrating reasonable returns despite the leverage. Revenue grew 6% YoY with $17.54B annual revenue in 2025 and Q4 at $4.61B (up 5.95%) [1]. Forward P/E of 15.8x is attractive, below the 20x target. Profit margin of 1.2% is very thin — well below the 20% target — reflecting heavy depreciation, interest expense, and operating costs inherent to resort operations. Earnings growth of 115.7% in Q4 and adjusted EPS of $1.60 vs $0.45 prior year show strong improvement trajectory [1]. No PEG ratio available. Liquidity floor easily cleared: 5.1M avg vol x $37.01 = $188.8M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MGM plays both finite and infinite games — the Japan Osaka integrated resort (multibillion-dollar, decades-long commitment) and BetMGM's digital scaling represent infinite game thinking, while the quarterly focus on Las Vegas Strip RevPAR, Macau market share, and aggressive share buybacks reflect short-term optimization. The CEO transition of COO Corey Sanders creates near-term execution uncertainty.</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MGM's stated purpose of 'Embracing Humanity and Protecting the Planet' with UN SDG alignment is aspirational, but the core business of encouraging gambling creates inherent tension with social responsibility [3]. The CDP double-A climate rating and 100% renewable energy target show genuine environmental commitment, but the entertainment/gambling mission does not naturally inspire beyond shareholder returns.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describe a 'highly hierarchical' culture with stark contrast between senior leader offices and lower-level employee conditions [2]. High turnover is cited alongside 'ineffective leadership,' 'lack of resources,' and diversity efforts perceived as performative. The COO succession (Sanders to Molino) and C-suite restructuring create organizational transition risk. The 2023 cybersecurity breach (though not recent) damaged employee and customer trust [2].</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MGM actively competes against Las Vegas Sands (Macau, Singapore), Wynn Resorts, Caesars Entertainment, and digital rivals DraftKings and FanDuel. The BetMGM joint venture with Entain demonstrates willingness to partner with competitors where complementary capabilities exist [1]. The Japan Osaka project reflects awareness that global expansion is necessary to compete with Sands' diversified Asian footprint.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MGM's transformation from a Las Vegas-centric casino operator to a global gaming, hospitality, and digital entertainment company represents significant strategic evolution [1]. The BetMGM digital pivot, Macau expansion, and Japan integrated resort construction show willingness to bet on new geographies and business models. However, the growth algorithm is shifting from revenue records to quality-of-mix, suggesting the easy expansion phase is ending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multibillion-dollar Japan Osaka commitment demonstrates long-term conviction, and BetMGM's path to positive EBITDA validates the digital strategy patience [1]. However, the thin 1.2% profit margin despite $17.5B revenue suggests cost discipline has been insufficient. Legacy technology systems (AS400, Cognos) cited by employees indicate leadership has been slow to modernize operational infrastructure [2]. Consumer sentiment headwinds and inflation concerns create macro vulnerability that management's optimism about 'solid base of group and convention business' may underestimate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MGM Resorts is a global gaming and hospitality leader trading at an attractive 15.8x forward P/E with multiple growth vectors — Macau recovery driving record MGM China performance, BetMGM scaling to $3.1B+ net revenue in 2026 with improving profitability, and the Japan Osaka integrated resort providing a decades-long growth runway [1]. Q4 2025 Adjusted EBITDA surged 20% to $635M with adjusted EPS of $1.60 (vs. $0.45 prior year), demonstrating strong earnings momentum. The company commands ~25% of Las Vegas Strip room inventory and operates a customer database 'on par with any major bank,' creating a data-driven competitive moat [2]. BetMGM's transition to positive Adjusted EBITDA validates the digital gaming strategy that initially weighed on earnings. The analyst consensus price target of $42.67 implies 15% upside from current levels [1].</w:t>
      </w:r>
    </w:p>
    <w:p>
      <w:pPr>
        <w:spacing w:after="120"/>
      </w:pPr>
      <w:r>
        <w:rPr>
          <w:rFonts w:ascii="Calibri" w:hAnsi="Calibri"/>
          <w:b w:val="0"/>
          <w:color w:val="3A4A28"/>
          <w:sz w:val="20"/>
        </w:rPr>
        <w:t>The bear case highlights structural concerns despite the earnings improvement. D/E of 963% reflects extreme leverage typical of the VICI Properties sale-leaseback structure, leaving limited financial flexibility if consumer spending weakens [4]. Profit margin of 1.2% on $17.5B revenue means MGM earns pennies on every dollar — well below the 20% target — and is vulnerable to cost inflation in labor-intensive hospitality operations. Las Vegas performance was mixed in Q4 2025 with key hotel metrics declining on the Strip, suggesting normalization after post-pandemic pent-up demand [1]. Consumer sentiment is falling amid inflation concerns, creating headwinds for discretionary spending on gambling and entertainment. The Inspire score of -77 (MISALIGNED) reflects gambling, sexually explicit content, and LGBT activism concerns that limit the faith-aligned investor universe [CSV]. Legacy technology systems and hierarchical culture cited by employees suggest operational modernization has lagged competitors [2]. The Japan Osaka project, while visionary, ties up billions in capital for years before generating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BetMGM 2026 guidance above $3.1B net revenue with higher profitability, validating the digital gaming platform as a sustainable earnings contributor [1]</w:t>
      </w:r>
    </w:p>
    <w:p>
      <w:pPr>
        <w:spacing w:before="40" w:after="40"/>
        <w:ind w:left="283"/>
      </w:pPr>
      <w:r>
        <w:rPr>
          <w:rFonts w:ascii="Calibri" w:hAnsi="Calibri"/>
          <w:b/>
          <w:color w:val="4A6B25"/>
          <w:sz w:val="20"/>
        </w:rPr>
        <w:t xml:space="preserve">2. </w:t>
      </w:r>
      <w:r>
        <w:rPr>
          <w:rFonts w:ascii="Calibri" w:hAnsi="Calibri"/>
          <w:b w:val="0"/>
          <w:color w:val="3A4A28"/>
          <w:sz w:val="20"/>
        </w:rPr>
        <w:t>Macau and Asia recovery continuing as MGM China's primary growth engine, with record performance flagged as a major contributor to best-ever revenue year [1]</w:t>
      </w:r>
    </w:p>
    <w:p>
      <w:pPr>
        <w:spacing w:before="40" w:after="40"/>
        <w:ind w:left="283"/>
      </w:pPr>
      <w:r>
        <w:rPr>
          <w:rFonts w:ascii="Calibri" w:hAnsi="Calibri"/>
          <w:b/>
          <w:color w:val="4A6B25"/>
          <w:sz w:val="20"/>
        </w:rPr>
        <w:t xml:space="preserve">3. </w:t>
      </w:r>
      <w:r>
        <w:rPr>
          <w:rFonts w:ascii="Calibri" w:hAnsi="Calibri"/>
          <w:b w:val="0"/>
          <w:color w:val="3A4A28"/>
          <w:sz w:val="20"/>
        </w:rPr>
        <w:t>MGM Grand Las Vegas renovations completing in 2026, combined with solid group and convention business base, supporting Las Vegas Strip pricing power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Consumer discretionary spending weakness — falling consumer sentiment and inflation concerns threaten gaming and hospitality revenue across Las Vegas, regional, and digital segments [1]</w:t>
      </w:r>
    </w:p>
    <w:p>
      <w:pPr>
        <w:spacing w:before="40" w:after="40"/>
        <w:ind w:left="283"/>
      </w:pPr>
      <w:r>
        <w:rPr>
          <w:rFonts w:ascii="Calibri" w:hAnsi="Calibri"/>
          <w:b/>
          <w:color w:val="4A6B25"/>
          <w:sz w:val="20"/>
        </w:rPr>
        <w:t xml:space="preserve">2. </w:t>
      </w:r>
      <w:r>
        <w:rPr>
          <w:rFonts w:ascii="Calibri" w:hAnsi="Calibri"/>
          <w:b w:val="0"/>
          <w:color w:val="3A4A28"/>
          <w:sz w:val="20"/>
        </w:rPr>
        <w:t>Extreme leverage (963% D/E) from VICI sale-leaseback structure limits financial flexibility and amplifies downside risk in an economic downturn [4]</w:t>
      </w:r>
    </w:p>
    <w:p>
      <w:pPr>
        <w:spacing w:before="40" w:after="40"/>
        <w:ind w:left="283"/>
      </w:pPr>
      <w:r>
        <w:rPr>
          <w:rFonts w:ascii="Calibri" w:hAnsi="Calibri"/>
          <w:b/>
          <w:color w:val="4A6B25"/>
          <w:sz w:val="20"/>
        </w:rPr>
        <w:t xml:space="preserve">3. </w:t>
      </w:r>
      <w:r>
        <w:rPr>
          <w:rFonts w:ascii="Calibri" w:hAnsi="Calibri"/>
          <w:b w:val="0"/>
          <w:color w:val="3A4A28"/>
          <w:sz w:val="20"/>
        </w:rPr>
        <w:t>Japan Osaka integrated resort execution risk — multibillion-dollar capital commitment with construction timeline and regulatory complexities in a new market, with returns years away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Casino resorts are experience-driven physical businesses with limited direct AI disruption risk — visitors seek in-person entertainment, hospitality, and gaming floor experiences that AI cannot replicate [1]. MGM's database, described as 'on par with any major bank,' and recruitment from Amazon/eBay for advanced analytics positions AI as a customer personalization and marketing enabler [2]. However, the BetMGM digital platform faces AI-related competitive pressure as rivals deploy AI for odds optimization, personalized wagering, and responsible gaming tools. Employees note MGM still uses legacy systems (AS400, Cognos) with manual processes, suggesting the company lags behind tech-forward competitors in operational AI adoption [2]. AI Opportunity (1/1): BetMGM's $3.1B+ 2026 revenue target relies on AI-driven personalization, customer acquisition optimization, and responsible gaming compliance tools across the digital gaming platform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r>
        <w:rPr>
          <w:rFonts w:ascii="Calibri" w:hAnsi="Calibri"/>
          <w:b w:val="0"/>
          <w:color w:val="9DAF88"/>
          <w:sz w:val="17"/>
        </w:rPr>
        <w:t xml:space="preserve">  ·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MGM Resorts Q4 2025 Earnings — $4.605B quarterly revenue, $635M Adj. EBITDA (up 20%), BetMGM $2.8B net revenue, Macau record performance, 2026 outlook, February 2026</w:t>
      </w:r>
    </w:p>
    <w:p>
      <w:pPr>
        <w:spacing w:before="20" w:after="20"/>
        <w:ind w:left="170"/>
      </w:pPr>
      <w:r>
        <w:rPr>
          <w:rFonts w:ascii="Calibri" w:hAnsi="Calibri"/>
          <w:b/>
          <w:color w:val="4A6B25"/>
          <w:sz w:val="15"/>
        </w:rPr>
        <w:t xml:space="preserve">2. </w:t>
      </w:r>
      <w:r>
        <w:rPr>
          <w:rFonts w:ascii="Calibri" w:hAnsi="Calibri"/>
          <w:b w:val="0"/>
          <w:color w:val="3A4A28"/>
          <w:sz w:val="17"/>
        </w:rPr>
        <w:t>MGM Resorts Leadership and Culture — CEO Bill Hornbuckle, COO transition, Glassdoor reviews, legacy technology systems, advanced analytics recruitment, 2025-2026</w:t>
      </w:r>
    </w:p>
    <w:p>
      <w:pPr>
        <w:spacing w:before="20" w:after="20"/>
        <w:ind w:left="170"/>
      </w:pPr>
      <w:r>
        <w:rPr>
          <w:rFonts w:ascii="Calibri" w:hAnsi="Calibri"/>
          <w:b/>
          <w:color w:val="4A6B25"/>
          <w:sz w:val="15"/>
        </w:rPr>
        <w:t xml:space="preserve">3. </w:t>
      </w:r>
      <w:r>
        <w:rPr>
          <w:rFonts w:ascii="Calibri" w:hAnsi="Calibri"/>
          <w:b w:val="0"/>
          <w:color w:val="3A4A28"/>
          <w:sz w:val="17"/>
        </w:rPr>
        <w:t>MGM Resorts ESG — CDP double-A rating, 100% renewable energy target, UN SDG alignment, MSCI BBB rating, Sustainalytics medium risk, 2022-2026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MGM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