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MGNX</w:t>
      </w:r>
      <w:r>
        <w:rPr>
          <w:rFonts w:ascii="Calibri" w:hAnsi="Calibri"/>
          <w:b/>
          <w:color w:val="1A2010"/>
          <w:sz w:val="40"/>
        </w:rPr>
        <w:t xml:space="preserve">  MacroGenics, Inc.</w:t>
      </w:r>
    </w:p>
    <w:p>
      <w:pPr>
        <w:spacing w:after="120"/>
      </w:pPr>
      <w:r>
        <w:rPr>
          <w:rFonts w:ascii="Calibri" w:hAnsi="Calibri"/>
          <w:b/>
          <w:color w:val="6E8450"/>
          <w:sz w:val="18"/>
        </w:rPr>
        <w:t>GROWTH SLEEVE · 2026-05-03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MacroGenics is a clinical-stage biopharmaceutical company that discovers, develops, manufactures, and commercializes antibody-based therapeutics for cancer treatment. The company's pipeline includes lorigerlimab (bispecific PD-1/CTLA-4), MGC026 (B7-H3 ADC), MGC028 (ADAM9 ADC), and MGC030 (preclinical ADC), with collaborations with Gilead, Incyte, and Sanofi.</w:t>
      </w:r>
    </w:p>
    <w:p>
      <w:r>
        <w:rPr>
          <w:rFonts w:ascii="Calibri" w:hAnsi="Calibri"/>
          <w:b/>
          <w:color w:val="6E8450"/>
          <w:sz w:val="18"/>
        </w:rPr>
        <w:t>293 Employees · https://www.macrogenics.com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MacroGenics has maintained a consistent antibody-drug conjugate pipeline but has not achieved a transformative commercial launch in the last 5 years; revenue remains collaboration-dependent at $149.5M in 2025, essentially flat with 2024 [1]. Contract manufacturing revenue grew to $52.6M from $13.1M, representing a modest new revenue stream [1]. AI Deployment (0/2): No evidence of AI-powered drug discovery tools or AI-driven efficiency gains; the company relies on its proprietary DART and antibody engineering platforms without disclosed AI integration [2]. Market Share (1/2): MacroGenics is a meaningful player in the ADC space, with three clinical-stage ADC candidates (MGC026, MGC028, MGC030) and proprietary linker-payload technology, though it does not lead the category against larger competitors like Daiichi Sankyo and AbbVie [1]. Pipeline (2/2): Specific next-gen data readouts are scheduled — MGC026 Phase 1 data mid-2026, MGC028 Phase 1 data H2 2026, lorigerlimab LINNET Phase 2 update mid-2026, and MGC030 IND submission Q3 2026 [1]. R&amp;D Intensity (1/1): R&amp;D spending is substantial relative to revenue for a 293-employee biotech, consistent with clinical-stage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MacroGenics' stated purpose centers on developing differentiated antibody-based therapeutics to improve cancer patient outcomes — clear and relevant but not distinctive among oncology-focused biotechs [3]. Community Impact (1/2): The company contributes to the broader cancer research ecosystem through academic collaborations and partnerships with global pharma companies (Gilead, Incyte, Sanofi), though no specific charitable programs or foundation activities are publicly documented [1]. Employee Retention (0/2): Glassdoor rating of 3.4/5 across 67 reviews with mixed feedback — some praise the culture and people, while others cite micromanagement and burnout from upper management, suggesting average-to-below-average retention [2]. Insider Buying (1/2): CEO transition from founder Scott Koenig (24-year tenure) to Eric Risser in August 2025 creates uncertainty; no meaningful net insider buying data available to indicate strong leadership conviction at current depressed prices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balance sheet is manageable for a clinical-stage biotech with D/E of 66.1% and $189.9M cash providing runway into late 2027 [1]. However, ROE of -86.9% and profit margin of -49.9% reflect the unprofitable clinical-stage reality — the company posted a $74.6M net loss in 2025 [1]. Revenue of $149.5M is entirely collaboration-driven (Gilead, Incyte, Sanofi milestones plus contract manufacturing) and inherently lumpy, swinging from $150M in 2022 to $58.7M in 2023 and back to $149.5M in 2025 [1]. Forward P/E is negative (unprofitable), and PEG is unavailable. YoY revenue growth of 113% reflects the 2023 trough recovery rather than organic momentum [4]. Liquidity floor passed: 1.02M avg vol × $3.13 = $3.2M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MacroGenics has demonstrated persistence through a 25-year history of antibody platform development, but the 2025 CEO transition from founder Scott Koenig to Eric Risser introduces uncertainty about whether the company's long-term scientific vision will endure. The collaboration-dependent revenue model and clinical-stage cash burn create finite-game pressure to deliver near-term pipeline milestones.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was founded in 2000 with a genuine scientific cause — developing next-generation antibody-based cancer therapeutics using proprietary DART and ADC platforms [3]. The cause is specific to oncology and has driven 25 years of consistent platform development, but it has not yet been validated by transformative commercial success. The August 2025 CEO transition from founder Koenig to Risser is a critical test of whether the cause transcends any single leader [2]. Just Cause: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 Glassdoor reviews (3.4/5) show some employees value the culture and collaborative environment, but others cite micromanagement and burnout driven by upper management [2]. The CEO transition and small team size (293 employees) create both intimacy and vulnerability. Founder Koenig's 24-year tenure provided stability, but his departure may have unsettled the organizational culture. Trusting Teams: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operates in a competitive ADC landscape against Daiichi Sankyo (Enhertu), AbbVie, and Pfizer/Seagen, but there is no public evidence of management framing these as worthy rivals whose strengths drive MacroGenics' improvement [1]. The competitive language is typical biotech — focused on differentiated targets and novel payloads rather than learning from rivals.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has shown meaningful evolution from its original bispecific antibody focus (DART platform) to the ADC space, recognizing the industry shift toward antibody-drug conjugates and building three clinical-stage ADC candidates (MGC026, MGC028, MGC030) alongside its legacy lorigerlimab bispecific program [1]. The pivot to contract manufacturing revenue ($52.6M in 2025) also demonstrates adaptation, though incremental rather than transformative.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planned CEO succession from founder Koenig to Risser in August 2025 was orderly, and the company has maintained its pipeline investment despite persistent losses and a depressed stock price ($3.13, ~$199M market cap) [1][2]. Continuing to fund four clinical programs while managing cash runway into 2027 shows commitment to long-term science over near-term cost-cutting.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MacroGenics offers a speculative value proposition at a depressed $199M market cap with a diversified ADC pipeline targeting high-value oncology indications. The company's $189.9M cash position extends runway into late 2027, and collaboration milestones with Gilead (up to $1.6B), Sanofi ($330M), and Incyte ($540M) provide significant upside optionality if clinical data reads out favorably [1]. Four pipeline programs have specific 2026 data catalysts — MGC026 and MGC028 Phase 1 data, lorigerlimab LINNET Phase 2 update, and MGC030 IND filing — creating multiple shots on goal in a hot ADC market [1]. Contract manufacturing revenue ($52.6M) provides a cash flow bridge while clinical programs mature.</w:t>
      </w:r>
    </w:p>
    <w:p>
      <w:pPr>
        <w:spacing w:after="120"/>
      </w:pPr>
      <w:r>
        <w:rPr>
          <w:rFonts w:ascii="Calibri" w:hAnsi="Calibri"/>
          <w:b w:val="0"/>
          <w:color w:val="3A4A28"/>
          <w:sz w:val="20"/>
        </w:rPr>
        <w:t>The bear case is substantial: MacroGenics has been public since 2013 without achieving a sustainable commercial product, posting a $74.6M net loss in 2025 on $149.5M of lumpy collaboration revenue [1]. The $3.13 stock price (down ~90% from 2021 highs) reflects market skepticism about pipeline value. The CEO transition from founder Koenig to Risser introduces execution risk at a critical juncture. Cash runway into late 2027 sounds adequate but leaves minimal margin for clinical setbacks — a negative Phase 1 readout on MGC026 or MGC028 could necessitate dilutive financing at current depressed valuations. The ADC competitive landscape is intensifying with well-funded programs from Daiichi Sankyo, AbbVie, and others. At 293 employees, MacroGenics is resource-constrained relative to the ambition of running four clinical programs simultaneously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MGC026 (B7-H3 ADC) initial Phase 1 data expected mid-2026, targeting a validated oncology antigen with a novel TOP1i linker-payload [1]</w:t>
      </w:r>
    </w:p>
    <w:p>
      <w:pPr>
        <w:spacing w:before="40" w:after="40"/>
        <w:ind w:left="283"/>
      </w:pPr>
      <w:r>
        <w:rPr>
          <w:rFonts w:ascii="Calibri" w:hAnsi="Calibri"/>
          <w:b/>
          <w:color w:val="4A6B25"/>
          <w:sz w:val="20"/>
        </w:rPr>
        <w:t xml:space="preserve">2. </w:t>
      </w:r>
      <w:r>
        <w:rPr>
          <w:rFonts w:ascii="Calibri" w:hAnsi="Calibri"/>
          <w:b w:val="0"/>
          <w:color w:val="3A4A28"/>
          <w:sz w:val="20"/>
        </w:rPr>
        <w:t>Lorigerlimab LINNET Phase 2 clinical update mid-2026 in mCRPC, with potential Gilead milestone payments if data supports advancement [1]</w:t>
      </w:r>
    </w:p>
    <w:p>
      <w:pPr>
        <w:spacing w:before="40" w:after="40"/>
        <w:ind w:left="283"/>
      </w:pPr>
      <w:r>
        <w:rPr>
          <w:rFonts w:ascii="Calibri" w:hAnsi="Calibri"/>
          <w:b/>
          <w:color w:val="4A6B25"/>
          <w:sz w:val="20"/>
        </w:rPr>
        <w:t xml:space="preserve">3. </w:t>
      </w:r>
      <w:r>
        <w:rPr>
          <w:rFonts w:ascii="Calibri" w:hAnsi="Calibri"/>
          <w:b w:val="0"/>
          <w:color w:val="3A4A28"/>
          <w:sz w:val="20"/>
        </w:rPr>
        <w:t>MGC030 IND submission planned Q3 2026, expanding the ADC pipeline to a fourth clinical candidate and demonstrating platform productivity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Phase 1 data for MGC026 or MGC028 would undermine the ADC platform thesis and likely trigger significant equity dilution at depressed valuations [1]</w:t>
      </w:r>
    </w:p>
    <w:p>
      <w:pPr>
        <w:spacing w:before="40" w:after="40"/>
        <w:ind w:left="283"/>
      </w:pPr>
      <w:r>
        <w:rPr>
          <w:rFonts w:ascii="Calibri" w:hAnsi="Calibri"/>
          <w:b/>
          <w:color w:val="4A6B25"/>
          <w:sz w:val="20"/>
        </w:rPr>
        <w:t xml:space="preserve">2. </w:t>
      </w:r>
      <w:r>
        <w:rPr>
          <w:rFonts w:ascii="Calibri" w:hAnsi="Calibri"/>
          <w:b w:val="0"/>
          <w:color w:val="3A4A28"/>
          <w:sz w:val="20"/>
        </w:rPr>
        <w:t>Cash runway extending only into late 2027 leaves limited buffer for clinical delays, with potential dilutive financing at a $199M market cap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24-year founder to new leadership creates execution risk during a critical pipeline inflection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MacroGenics' core business — wet-lab antibody engineering, clinical trials, and biologic manufacturing — involves physical-world R&amp;D and regulatory processes that AI cannot substitute [1]. Drug development requires FDA clinical trial approval, patient recruitment, and manufacturing scale-up that are inherently human and physical. However, AI-driven drug discovery platforms from competitors (Recursion, Absci, large pharma AI labs) could accelerate competitive pipelines and compress MacroGenics' differentiation in target selection and molecule optimization [2]. The ADC space specifically requires complex bioconjugation chemistry and manufacturing that remains AI-resistant. AI Opportunity (1/1): While MacroGenics has not disclosed AI deployment, the broader pharma industry is using AI for target identification and clinical trial optimization; MacroGenics' collaboration partners Gilead and Incyte are investing in AI tools that could indirectly benefit joint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MacroGenics 2025 Financial Results and 2026 Pipeline Outlook Press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MacroGenics Leadership Transition Announcement and Glassdoor Reviews (3.4/5, 67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MacroGenics Corporate Website — About Us, Pipeline, and Mission,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MGNX (MacroGenics),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