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MGY</w:t>
      </w:r>
      <w:r>
        <w:rPr>
          <w:rFonts w:ascii="Calibri" w:hAnsi="Calibri"/>
          <w:b/>
          <w:color w:val="1A2010"/>
          <w:sz w:val="40"/>
        </w:rPr>
        <w:t xml:space="preserve">  Magnolia Oil &amp; Gas Corporation</w:t>
      </w:r>
    </w:p>
    <w:p>
      <w:pPr>
        <w:spacing w:after="120"/>
      </w:pPr>
      <w:r>
        <w:rPr>
          <w:rFonts w:ascii="Calibri" w:hAnsi="Calibri"/>
          <w:b/>
          <w:color w:val="6E8450"/>
          <w:sz w:val="18"/>
        </w:rPr>
        <w:t>DIVIDEND SLEEVE · 2026-04-09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Magnolia Oil &amp; Gas Corporation is an independent oil and natural gas company focused on the acquisition, development, exploration, and production of oil, natural gas, and NGL reserves in South Texas. Properties are concentrated in Karnes County and the Giddings area, targeting the Eagle Ford Shale and Austin Chalk formations.</w:t>
      </w:r>
    </w:p>
    <w:p>
      <w:r>
        <w:rPr>
          <w:rFonts w:ascii="Calibri" w:hAnsi="Calibri"/>
          <w:b/>
          <w:color w:val="6E8450"/>
          <w:sz w:val="18"/>
        </w:rPr>
        <w:t>262 Employees · https://www.magnoliaoilgas.com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Magnolia has delivered modest organic growth, increasing total production 11% YoY to 103.8 Mboe/d in 2025, with Giddings representing 79% of volumes [1]. However, the business model remains unchanged since the 2018 formation — conventional E&amp;P with no transformative pivots. AI Deployment (0/2): No AI-powered products or quantified AI-driven cost savings. The company uses standard digital oilfield technologies but has not disclosed any AI initiatives [2]. Market Share (1/2): Magnolia is a meaningful operator in the Eagle Ford/Austin Chalk with improving drilling efficiency (8% increase in drilled feet per day, 6% in completed feet per day in 2025), but is not a category leader [1]. Pipeline (1/2): 2026 guidance projects ~5% total production growth with D&amp;C capital of $440–$480M, with 75–80% focused on Giddings; specific but incremental rather than transformative [1]. R&amp;D Intensity (1/1): Well costs have trended from ~$1,100/ft to ~$1,000/ft through engineering optimization, representing above-average operational efficiency for a small-cap E&amp;P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Magnolia's stated vision — 'an investment of choice with a broad shareholder base, an employer of choice with a winning culture, and an operator of choice with best-in-class assets' — is clear but financially oriented and interchangeable with most E&amp;P companies [2]. Community Impact (1/2): The company publishes annual sustainability reports covering emissions reduction through field electrification and methane mitigation at acquired sites, showing genuine operational commitment though with limited dollar quantification [3]. Employee Retention (1/2): With only 262 employees, Magnolia operates lean; CEO Chris Stavros (appointed 2022) previously served as EVP/CFO since 2018, suggesting internal promotion and continuity [2]. Insider Buying (1/2): Stavros holds significant equity; the company returned 75% of 2025 free cash flow to shareholders and raised the dividend 10%, demonstrating capital discipline and alignment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Magnolia's balance sheet is exceptionally clean for an E&amp;P: D/E of just 21.0% with $267M cash against $420M debt [4]. ROE of 17.0% exceeds the 15% target. Profit margin of 24.8% is strong for the sector. Forward P/E of 12.3x is well below the 20x target. Dividend payout ratio of 34.7% is conservative, and the 5-year dividend growth CAGR of 15.6% (annualized from 2021 initiation at $0.08 to $0.60 in 2025) is exceptional [1][4]. The primary weakness is revenue trajectory: -2.8% YoY and -8.2% 5-year CAGR reflecting commodity price sensitivity with flat production until the recent Giddings ramp. Consecutive years paid (5) and growth (4) are still building a track record. Liquidity floor easily cleared: 3.18M avg vol × $29.86 = $94.8M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Magnolia plays a patient, capital-disciplined game — returning 75% of free cash flow to shareholders while maintaining a low-leverage balance sheet and growing production organically. However, the company lacks a transcendent purpose beyond efficient resource extraction and shareholder returns, limiting its infinite game credentials.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Magnolia's purpose is shareholder returns through efficient oil and gas development. The vision statement centers on being 'an investment of choice' and 'operator of choice' — financially oriented and not aspirational beyond the E&amp;P industry norm [2]. There is no articulated vision of a better future state; the company exists to extract hydrocarbons efficiently.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262 employees, Magnolia runs an unusually lean operation. CEO Stavros was promoted internally from CFO, and several executives have been with the company since its 2018 formation, suggesting organizational stability [2]. The small team size inherently creates closer working relationships, but no specific evidence of exceptional trust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Magnolia's management explicitly benchmarks against larger E&amp;P operators on capital efficiency, well costs, and per-unit economics. The company's competitive language focuses on improving its own operational metrics — drilled feet per day, cost per foot — rather than 'beating' rivals [1]. The focus on being 'best-in-class' implies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Magnolia has operated the same business model since its 2018 formation — Eagle Ford/Austin Chalk E&amp;P in South Texas. The company has expanded within Giddings and made bolt-on acquisitions, but has not demonstrated transformative strategic flexibility or pivoted away from its core business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Magnolia's commitment to capital discipline — returning 75% of FCF to shareholders while maintaining sub-21% D/E — demonstrates courage in an industry where peers frequently over-lever for growth [1]. The 10% dividend raise alongside 5% production growth guidance shows willingness to prioritize sustainability over aggressive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Magnolia Oil &amp; Gas offers a compelling risk-adjusted value proposition for income-oriented investors: a pristine balance sheet (D/E 21%), growing dividend (raised 10% in February 2026 to $0.62 annualized, 2.1% yield), and 75% free cash flow return to shareholders [1]. The company delivered 11% production growth in 2025 to 103.8 Mboe/d with improving well economics — Giddings well costs trending from $1,100/ft to $1,000/ft [1]. At 12.3x forward P/E with KeyCorp's $38 price target (27% upside) and Overweight rating, MGY trades at a discount to E&amp;P peers while offering superior capital efficiency and balance sheet strength [4].</w:t>
      </w:r>
    </w:p>
    <w:p>
      <w:pPr>
        <w:spacing w:after="120"/>
      </w:pPr>
      <w:r>
        <w:rPr>
          <w:rFonts w:ascii="Calibri" w:hAnsi="Calibri"/>
          <w:b w:val="0"/>
          <w:color w:val="3A4A28"/>
          <w:sz w:val="20"/>
        </w:rPr>
        <w:t>The bear case centers on commodity price exposure and scale limitations. Revenue declined 2.8% YoY despite 11% production growth, reflecting lower realized prices that MGY cannot control [4]. The 5-year revenue CAGR of -8.2% underscores dependence on commodity cycles. With only 262 employees and operations concentrated in two South Texas areas (Karnes and Giddings), Magnolia lacks geographic diversification — a single-basin operational disruption could materially impact results. The 5% production growth guidance for 2026 is modest, and the company's inventory runway in the Eagle Ford/Austin Chalk, while multi-year, is finite. At $5.7B market cap, MGY is too small for most institutional mandates, potentially limiting multiple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Giddings area production ramp continuing to drive organic growth, with 75-80% of 2026 capital directed to the basin's expanding inventory [1]</w:t>
      </w:r>
    </w:p>
    <w:p>
      <w:pPr>
        <w:spacing w:before="40" w:after="40"/>
        <w:ind w:left="283"/>
      </w:pPr>
      <w:r>
        <w:rPr>
          <w:rFonts w:ascii="Calibri" w:hAnsi="Calibri"/>
          <w:b/>
          <w:color w:val="4A6B25"/>
          <w:sz w:val="20"/>
        </w:rPr>
        <w:t xml:space="preserve">2. </w:t>
      </w:r>
      <w:r>
        <w:rPr>
          <w:rFonts w:ascii="Calibri" w:hAnsi="Calibri"/>
          <w:b w:val="0"/>
          <w:color w:val="3A4A28"/>
          <w:sz w:val="20"/>
        </w:rPr>
        <w:t>Drilling efficiency gains (8% improvement in drilled feet/day) reducing well costs toward $1,000/ft, expanding returns even in a flat commodity environment [1]</w:t>
      </w:r>
    </w:p>
    <w:p>
      <w:pPr>
        <w:spacing w:before="40" w:after="40"/>
        <w:ind w:left="283"/>
      </w:pPr>
      <w:r>
        <w:rPr>
          <w:rFonts w:ascii="Calibri" w:hAnsi="Calibri"/>
          <w:b/>
          <w:color w:val="4A6B25"/>
          <w:sz w:val="20"/>
        </w:rPr>
        <w:t xml:space="preserve">3. </w:t>
      </w:r>
      <w:r>
        <w:rPr>
          <w:rFonts w:ascii="Calibri" w:hAnsi="Calibri"/>
          <w:b w:val="0"/>
          <w:color w:val="3A4A28"/>
          <w:sz w:val="20"/>
        </w:rPr>
        <w:t>Accelerating shareholder returns — 75% FCF payout with 10% dividend growth and active buyback program reducing share count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and gas price volatility — revenue declined despite production growth in 2025, and a sustained commodity downturn would compress cash flow and threaten dividend sustainability [4]</w:t>
      </w:r>
    </w:p>
    <w:p>
      <w:pPr>
        <w:spacing w:before="40" w:after="40"/>
        <w:ind w:left="283"/>
      </w:pPr>
      <w:r>
        <w:rPr>
          <w:rFonts w:ascii="Calibri" w:hAnsi="Calibri"/>
          <w:b/>
          <w:color w:val="4A6B25"/>
          <w:sz w:val="20"/>
        </w:rPr>
        <w:t xml:space="preserve">2. </w:t>
      </w:r>
      <w:r>
        <w:rPr>
          <w:rFonts w:ascii="Calibri" w:hAnsi="Calibri"/>
          <w:b w:val="0"/>
          <w:color w:val="3A4A28"/>
          <w:sz w:val="20"/>
        </w:rPr>
        <w:t>Single-basin concentration risk — all production comes from Eagle Ford/Austin Chalk in South Texas, with no geographic or basin diversification [1]</w:t>
      </w:r>
    </w:p>
    <w:p>
      <w:pPr>
        <w:spacing w:before="40" w:after="40"/>
        <w:ind w:left="283"/>
      </w:pPr>
      <w:r>
        <w:rPr>
          <w:rFonts w:ascii="Calibri" w:hAnsi="Calibri"/>
          <w:b/>
          <w:color w:val="4A6B25"/>
          <w:sz w:val="20"/>
        </w:rPr>
        <w:t xml:space="preserve">3. </w:t>
      </w:r>
      <w:r>
        <w:rPr>
          <w:rFonts w:ascii="Calibri" w:hAnsi="Calibri"/>
          <w:b w:val="0"/>
          <w:color w:val="3A4A28"/>
          <w:sz w:val="20"/>
        </w:rPr>
        <w:t>Limited scale (262 employees, $1.3B revenue) constrains ability to attract institutional capital and compete for acreage against larger E&amp;P operators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Magnolia's core business — drilling, completing, and producing oil and natural gas from physical reservoirs in South Texas — is structurally immune to AI displacement [2]. AI cannot substitute for subsurface hydrocarbon extraction; the business is tied to physical-world operations, geology, and commodity markets. Furthermore, AI data center buildout is driving incremental power demand that benefits natural gas producers. Analysts have flagged zero AI substitution risk for E&amp;P operators. AI Opportunity (0/1): Magnolia does not generate revenue from AI products or services. The company may use AI for drilling optimization or reservoir modeling, but no quantified AI revenue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Magnolia Oil &amp; Gas Q4 2025 Earnings Release — 103.8 Mboe/d production, 75% FCF return, 10% dividend raise, February 5, 2026</w:t>
      </w:r>
    </w:p>
    <w:p>
      <w:pPr>
        <w:spacing w:before="20" w:after="20"/>
        <w:ind w:left="170"/>
      </w:pPr>
      <w:r>
        <w:rPr>
          <w:rFonts w:ascii="Calibri" w:hAnsi="Calibri"/>
          <w:b/>
          <w:color w:val="4A6B25"/>
          <w:sz w:val="15"/>
        </w:rPr>
        <w:t xml:space="preserve">2. </w:t>
      </w:r>
      <w:r>
        <w:rPr>
          <w:rFonts w:ascii="Calibri" w:hAnsi="Calibri"/>
          <w:b w:val="0"/>
          <w:color w:val="3A4A28"/>
          <w:sz w:val="17"/>
        </w:rPr>
        <w:t>Magnolia Oil &amp; Gas corporate website — investor relations, leadership, sustainability reports,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Magnolia Oil &amp; Gas 2024 Sustainability Report — emissions reduction, field electrification, community programs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MGY (Magnolia Oil &amp; Gas), retrieved April 9, 2026</w:t>
      </w:r>
    </w:p>
    <w:p>
      <w:pPr>
        <w:spacing w:before="20" w:after="20"/>
        <w:ind w:left="170"/>
      </w:pPr>
      <w:r>
        <w:rPr>
          <w:rFonts w:ascii="Calibri" w:hAnsi="Calibri"/>
          <w:b/>
          <w:color w:val="4A6B25"/>
          <w:sz w:val="15"/>
        </w:rPr>
        <w:t xml:space="preserve">5. </w:t>
      </w:r>
      <w:r>
        <w:rPr>
          <w:rFonts w:ascii="Calibri" w:hAnsi="Calibri"/>
          <w:b w:val="0"/>
          <w:color w:val="3A4A28"/>
          <w:sz w:val="17"/>
        </w:rPr>
        <w:t>KeyCorp analyst note — FY2026 EPS estimate raised to $3.22, Overweight rating, $38 price target,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