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MIAX</w:t>
      </w:r>
      <w:r>
        <w:rPr>
          <w:rFonts w:ascii="Calibri" w:hAnsi="Calibri"/>
          <w:b/>
          <w:color w:val="1A2010"/>
          <w:sz w:val="40"/>
        </w:rPr>
        <w:t xml:space="preserve">  Miami International Holdings, Inc.</w:t>
      </w:r>
    </w:p>
    <w:p>
      <w:pPr>
        <w:spacing w:after="120"/>
      </w:pPr>
      <w:r>
        <w:rPr>
          <w:rFonts w:ascii="Calibri" w:hAnsi="Calibri"/>
          <w:b/>
          <w:color w:val="6E8450"/>
          <w:sz w:val="18"/>
        </w:rPr>
        <w:t>GROWTH SLEEVE · 2026-04-30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Miami International Holdings operates regulated financial exchanges across options, equities, futures, and international listings. The company's platforms include MIAX Options, MIAX Pearl, MIAX Emerald, and MIAX Sapphire for options; MIAX Pearl Equities for U.S. equities; MIAX Futures for derivatives; and the Bermuda Stock Exchange (BSX) and The International Stock Exchange (TISE) for international listings.</w:t>
      </w:r>
    </w:p>
    <w:p>
      <w:r>
        <w:rPr>
          <w:rFonts w:ascii="Calibri" w:hAnsi="Calibri"/>
          <w:b/>
          <w:color w:val="6E8450"/>
          <w:sz w:val="18"/>
        </w:rPr>
        <w:t>439 Employees · https://www.miaxglobal.com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MIAX grew revenue from $797.9M in 2022 to $1.36B in 2025 (3-year CAGR of 19.6%), with Q4 2025 revenue surging 52% YoY to $125M [1]. The company successfully launched MIAX Sapphire as its fourth options exchange and expanded into equities (MIAX Pearl Equities grew 95% YoY in Q3) and international listings via BSX and TISE acquisitions [2]. The August 2025 IPO raised $396.8M in gross proceeds, marking the company's transition to a public entity [2]. AI Deployment (1/2): CEO Gallagher has stated 'AI is our opportunity,' and exchange technology platforms use algorithmic matching and market surveillance systems, though no specific AI-driven revenue or cost savings have been quantified [3]. Market Share (2/2): MIAX options exchanges reached a record 18.2% market share in Q4 2025 (up 14.5% YoY) with record average daily volume of 11.1M contracts [1]. The company is the fastest-growing options exchange group in the U.S., challenging incumbents Cboe, NYSE, and Nasdaq [2]. Pipeline (1/2): MIAX continues expanding exchange products and asset classes — the international segment grew 586% YoY in Q3 2025 — but specific next-generation technology launches with timelines are limited [2]. R&amp;D Intensity (1/1): Proprietary exchange technology development is central to the business model, with the company investing in matching engine performance and market data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MIAX's mission focuses on providing 'innovative, efficient, and fair markets' through technology-driven exchange operations — functional and clear but not deeply purposeful beyond the mechanics of financial market infrastructure [3]. Community Impact (1/2): MIAX operates regulated exchanges that provide market access, price discovery, and liquidity to the broader financial ecosystem. The Bermuda Stock Exchange and TISE provide international listing services that support smaller companies' access to capital markets [2]. Employee Retention (0/2): Glassdoor rating of 4.1/5.0 based on only 15 reviews shows a mixed picture — some employees praise the environment as 'Amazing' while others describe the trading operations culture as 'hell' with micromanagement complaints [3]. Only 65% would recommend working there. No retention data available for this 439-person company. Insider Buying (1/2): CEO Gallagher holds 2.83% of the company worth $85.15M, demonstrating significant equity alignment, though recent insider activity shows options exercises and sales ($9.7M by Gallagher in April 2026)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MIAX has an extremely clean balance sheet with D/E of just 2.8% and $478M in cash (primarily IPO proceeds) against $24.8M debt [4]. Revenue growth is strong at 14.1% YoY with a 3-year CAGR of 19.6%, and Q4 2025 adjusted EBITDA doubled to $62.2M with 50% margins [1]. However, GAAP profitability is distorted by a $107.7M one-time loss on debt extinguishment in Q3 2025 related to the IPO, resulting in a -5.1% trailing profit margin and -11.2% ROE [2]. Adjusted earnings tell a much better story — Q4 adjusted earnings of $57.1M were nearly 3x the prior year period [1]. Forward P/E of 27.2x reflects analyst expectations of normalized profitability. Liquidity floor easily cleared at $66.5M daily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MIAX under CEO Gallagher plays a moderately finite game — the company's competitive language centers on 'winning' market share from incumbents (Cboe, NYSE, Nasdaq) and the rapid expansion strategy (four options exchanges, equities, futures, international) prioritizes growth over sustainable culture-building. The 12-year CEO tenure provides stability, but the trading operations culture concerns and aggressive insider selling post-IPO suggest a growth-at-all-costs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MIAX's purpose is providing 'innovative, efficient, and fair markets' — functional but not deeply inspiring beyond the mechanics of exchange operations [3]. The company exists primarily to capture options market share from larger incumbents through better technology and lower fees, which is a competitive strategy rather than a Just Cause. There is no articulated vision of a better future that transcends market share gains.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cultural signals at this 439-person company. Glassdoor rating of 4.1/5.0 is decent, and some employees describe the workplace positively [3]. However, the trading operations team reviews describe 'absolutely terrible culture' with micromanagement, and only 65% of employees would recommend working there [3]. CEO Gallagher's 12-year tenure provides leadership continuity.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MIAX's competitive language focuses on 'winning' market share from Cboe, NYSE, and Nasdaq — a classic finite game framing [1]. The company measures success primarily by market share percentage (18.2% record) and volume growth (46.5% increase), with less emphasis on how competition makes MIAX better. The aggressive expansion into four separate options exchanges suggests a market capture strategy.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MIAX has expanded meaningfully from a single options exchange to a multi-asset-class platform spanning options (4 exchanges), equities, futures, and international listings (BSX, TISE), with the international segment growing 586% YoY [2]. The August 2025 IPO represents a structural transformation from private to public company. However, these are all incremental extensions of the exchange platform business model rather than transformative pivots.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Gallagher demonstrated conviction by building MIAX from a startup exchange to a $4.5B public company challenger over 12 years, competing against deeply entrenched incumbents with far greater resources [1]. The decision to IPO in August 2025 and the aggressive expansion into new asset classes show willingness to invest for the long term. However, the $9.7M in insider sales by the CEO just months after the IPO raises questions about long-term conviction versus liquidity harvesting [4].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Miami International Holdings is the fastest-growing U.S. options exchange operator, reaching a record 18.2% market share with 11.1M contracts daily in Q4 2025 (up 46.5% YoY) [1]. Revenue grew to $1.36B in FY2025 (3-year CAGR of 19.6%), and adjusted EBITDA in Q4 doubled to $62.2M with 50% margins [1]. The August 2025 IPO raised $396.8M, leaving the balance sheet with $478M cash against just $24.8M debt — a fortress capital position [2]. At 27.2x forward P/E, the stock prices in the transition to normalized profitability after one-time IPO-related charges. Multi-asset-class expansion (equities up 95% YoY, international up 586% YoY) diversifies revenue beyond options, and secular growth in options trading volumes (driven by retail participation and hedging demand) provides a structural tailwind [2].</w:t>
      </w:r>
    </w:p>
    <w:p>
      <w:pPr>
        <w:spacing w:after="120"/>
      </w:pPr>
      <w:r>
        <w:rPr>
          <w:rFonts w:ascii="Calibri" w:hAnsi="Calibri"/>
          <w:b w:val="0"/>
          <w:color w:val="3A4A28"/>
          <w:sz w:val="20"/>
        </w:rPr>
        <w:t>The bear case centers on competition, post-IPO risks, and cultural execution. MIAX competes against deeply entrenched incumbents — Cboe (33% market share), NYSE (20%), and Nasdaq (19%) — with far greater resources, brand recognition, and institutional relationships [1]. The company's GAAP profitability is distorted by $107.7M in one-time debt extinguishment charges, and trailing profit margins remain negative at -5.1% [2]. The options exchange business is inherently commoditized — differentiation is primarily on price and speed, creating a race to the bottom on transaction fees. CEO Gallagher's $9.7M in stock sales and $1.3M from the General Counsel just months post-IPO signal potential insider liquidity harvesting [4]. Glassdoor reviews flag concerning trading operations culture with micromanagement complaints, and only 65% of employees would recommend the company [3]. At $4.5B market cap, the valuation assumes sustained market share gains and margin expansion that may prove challenging against well-resourced competitors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Options market share trajectory toward 20%+ as MIAX Sapphire (4th exchange) ramps and retail options participation continues to grow, driving volume-based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normalization as one-time IPO charges ($107.7M debt extinguishment) roll off, revealing underlying adjusted EBITDA margins of 50% and potentially triggering institutional re-rating [1]</w:t>
      </w:r>
    </w:p>
    <w:p>
      <w:pPr>
        <w:spacing w:before="40" w:after="40"/>
        <w:ind w:left="283"/>
      </w:pPr>
      <w:r>
        <w:rPr>
          <w:rFonts w:ascii="Calibri" w:hAnsi="Calibri"/>
          <w:b/>
          <w:color w:val="4A6B25"/>
          <w:sz w:val="20"/>
        </w:rPr>
        <w:t xml:space="preserve">3. </w:t>
      </w:r>
      <w:r>
        <w:rPr>
          <w:rFonts w:ascii="Calibri" w:hAnsi="Calibri"/>
          <w:b w:val="0"/>
          <w:color w:val="3A4A28"/>
          <w:sz w:val="20"/>
        </w:rPr>
        <w:t>Multi-asset-class diversification with equities (95% growth) and international listings (586% growth) reducing dependence on the U.S. options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Exchange fee compression from incumbent competitors (Cboe, NYSE, Nasdaq) with deeper pockets who could engage in pricing wars to defend market share against MIAX's gains [1]</w:t>
      </w:r>
    </w:p>
    <w:p>
      <w:pPr>
        <w:spacing w:before="40" w:after="40"/>
        <w:ind w:left="283"/>
      </w:pPr>
      <w:r>
        <w:rPr>
          <w:rFonts w:ascii="Calibri" w:hAnsi="Calibri"/>
          <w:b/>
          <w:color w:val="4A6B25"/>
          <w:sz w:val="20"/>
        </w:rPr>
        <w:t xml:space="preserve">2. </w:t>
      </w:r>
      <w:r>
        <w:rPr>
          <w:rFonts w:ascii="Calibri" w:hAnsi="Calibri"/>
          <w:b w:val="0"/>
          <w:color w:val="3A4A28"/>
          <w:sz w:val="20"/>
        </w:rPr>
        <w:t>Post-IPO lock-up expirations and continued insider selling (CEO sold $9.7M, General Counsel $1.3M in April 2026) could create selling pressure on the stock [4]</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SEC market structure reforms that could alter options exchange economics, including changes to maker-taker fee models or payment for order flow regulations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MIAX operates regulated financial exchanges — a business model protected by SEC licensing, regulatory barriers, and network effects (liquidity begets liquidity) [2]. However, AI poses meaningful structural risks to exchange economics: AI-driven trading firms already account for a significant share of options volume, and AI could commoditize market-making, compress bid-ask spreads, and reduce per-contract transaction fees. AI-powered alternative trading systems could emerge to compete with traditional exchanges. The exchange model is also exposed to AI-driven shifts in market structure regulation. That said, the physical infrastructure and regulatory licenses create meaningful moats against full AI displacement [2]. AI Opportunity (1/1): MIAX's exchange technology inherently processes algorithmic and AI-driven order flow, and increased AI trading activity actually drives higher volumes on the platform. CEO Gallagher has explicitly positioned AI as an opportunity for the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Miami International Holdings Q4 2025 / FY2025 Financial Results — record 18.2% market share, adjusted EBITDA $62.2M, revenue up 52% Q4 YoY, February 2026</w:t>
      </w:r>
    </w:p>
    <w:p>
      <w:pPr>
        <w:spacing w:before="20" w:after="20"/>
        <w:ind w:left="170"/>
      </w:pPr>
      <w:r>
        <w:rPr>
          <w:rFonts w:ascii="Calibri" w:hAnsi="Calibri"/>
          <w:b/>
          <w:color w:val="4A6B25"/>
          <w:sz w:val="15"/>
        </w:rPr>
        <w:t xml:space="preserve">2. </w:t>
      </w:r>
      <w:r>
        <w:rPr>
          <w:rFonts w:ascii="Calibri" w:hAnsi="Calibri"/>
          <w:b w:val="0"/>
          <w:color w:val="3A4A28"/>
          <w:sz w:val="17"/>
        </w:rPr>
        <w:t>Miami International Holdings Q3 2025 Earnings Release — net revenue $109.5M (57% YoY), IPO gross proceeds $396.8M, $107.7M debt extinguishment charge, November 2025</w:t>
      </w:r>
    </w:p>
    <w:p>
      <w:pPr>
        <w:spacing w:before="20" w:after="20"/>
        <w:ind w:left="170"/>
      </w:pPr>
      <w:r>
        <w:rPr>
          <w:rFonts w:ascii="Calibri" w:hAnsi="Calibri"/>
          <w:b/>
          <w:color w:val="4A6B25"/>
          <w:sz w:val="15"/>
        </w:rPr>
        <w:t xml:space="preserve">3. </w:t>
      </w:r>
      <w:r>
        <w:rPr>
          <w:rFonts w:ascii="Calibri" w:hAnsi="Calibri"/>
          <w:b w:val="0"/>
          <w:color w:val="3A4A28"/>
          <w:sz w:val="17"/>
        </w:rPr>
        <w:t>Glassdoor Reviews, LinkedIn, Simply Wall St — CEO Gallagher profile, 'AI is our opportunity' quote, employee ratings 4.1/5.0, culture reviews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MIAX (Miami International Holdings), insider transactions,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