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MIMI</w:t>
      </w:r>
      <w:r>
        <w:rPr>
          <w:rFonts w:ascii="Calibri" w:hAnsi="Calibri"/>
          <w:b/>
          <w:color w:val="1A2010"/>
          <w:sz w:val="40"/>
        </w:rPr>
        <w:t xml:space="preserve">  Mint Incorporation Limited</w:t>
      </w:r>
    </w:p>
    <w:p>
      <w:pPr>
        <w:spacing w:after="120"/>
      </w:pPr>
      <w:r>
        <w:rPr>
          <w:rFonts w:ascii="Calibri" w:hAnsi="Calibri"/>
          <w:b/>
          <w:color w:val="6E8450"/>
          <w:sz w:val="18"/>
        </w:rPr>
        <w:t>GROWTH SLEEVE · 2026-03-31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Hong Kong</w:t>
      </w:r>
    </w:p>
    <w:p>
      <w:pPr>
        <w:spacing w:after="80"/>
      </w:pPr>
      <w:r>
        <w:rPr>
          <w:rFonts w:ascii="Calibri" w:hAnsi="Calibri"/>
          <w:b w:val="0"/>
          <w:color w:val="3A4A28"/>
          <w:sz w:val="20"/>
        </w:rPr>
        <w:t>Mint Incorporation Limited provides design, fit out, and repair and maintenance services for residential and non-residential buildings in Hong Kong. Founded in 2018, the company IPO'd on Nasdaq in January 2025 and is pivoting toward AI infrastructure, robotics, and smart facility management through its subsidiary Axonex Intelligence Limited.</w:t>
      </w:r>
    </w:p>
    <w:p>
      <w:r>
        <w:rPr>
          <w:rFonts w:ascii="Calibri" w:hAnsi="Calibri"/>
          <w:b/>
          <w:color w:val="6E8450"/>
          <w:sz w:val="18"/>
        </w:rPr>
        <w:t>50 Employees · https://www.mimintinc.com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MIMI generated just $3.27M in trailing revenue with a -44.7% profit margin and -$1.46M net loss, showing no evidence of commercial traction at scale [1]. The stock has fallen from its $4.00 IPO price to $0.26, a 93% decline in 14 months. AI Deployment (1/2): The February 2026 MoU with Rice Robotics to build a Physical AI Joint Venture in Asia signals AI ambition, and subsidiary Axonex Intelligence focuses on AI infrastructure, robotics, and IoT for smart facility management [2]. However, these are pre-revenue initiatives with no deployed products yet. Market Share (0/2): MIMI has negligible market share in Hong Kong's competitive fit-out industry and zero share in the robotics/AI space it is pivoting toward. Pipeline (1/2): The Axonex subsidiary and Rice Robotics JV represent a potentially interesting pipeline in smart cities and AI-powered facility management, though execution risk is extremely high for a company with a $7M market cap [2]. R&amp;D Intensity (1/1): The strategic pivot to AI and robotics under CEO Damian Chan (MIT-trained architect) demonstrates R&amp;D commitment relative to the company's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MIMI's stated mission to 'redefine how cities operate' through AI, robotics, and sustainable smart facility management is aspirational but unproven, with no tangible community impact or measurable outcomes yet [2]. The vision of 'human-centric spaces' lacks specificity. Community Impact (0/2): With approximately 50 employees and $3.27M revenue, MIMI's economic footprint is negligible. No evidence of community programs, charitable initiatives, or social impact beyond basic employment. Employee Retention (1/2): CEO Damian Chan was recognized as a 2022 Asia Top 40 Under 40 Young Design Professional, suggesting some ability to attract talent, but no Glassdoor data or employee sentiment metrics exist for a company this size [2]. Insider Buying (0/2): No evidence of insider buying; the dual CEO/Chairman role consolidated in January 2026 raises minor governance concerns despite the addition of independent director Tyler Xiu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MIMI's financial profile reflects an early-stage micro-cap with deeply negative profitability. Profit margin of -44.7% and ROE of -41.8% indicate the core business is not self-sustaining [1]. Revenue declined 33.8% YoY to $3.27M TTM after a 63.9% growth year in FY2024, suggesting volatile and unreliable revenue. The sole bright spot is a clean balance sheet: D/E of 21.6% with $4.6M cash against $1.25M debt, providing a net cash position of $3.35M ($0.13/share) [1]. However, with -$3.27M operating cash flow, the company has roughly one year of runway at current burn rates. No forward P/E or PEG available due to unprofitability. Nasdaq non-compliance notice for minimum bid price adds delisting risk [3]. Liquidity floor passes narrowly: 5.7M avg volume × $0.26 = $1.48M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MIMI shows elements of infinite game thinking through its ambitious pivot from construction fit-out to AI and robotics under CEO Damian Chan, but the company's micro-cap status, Nasdaq compliance issues, and unproven execution make it difficult to assess whether this represents genuine long-term vision or survival-driven pivoting.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MIMI articulates a cause — creating sustainable, intelligent, human-centric spaces through AI and robotics — that extends beyond quarterly profits [2]. The pivot from traditional construction to smart facility management suggests forward-looking ambition. However, the cause remains aspirational with no measurable progress, and the dramatic stock decline from $4.00 to $0.26 raises questions about whether the vision is achievable.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Damian Chan's dual CEO/Chairman appointment in January 2026 concentrates authority, but the simultaneous addition of independent director Tyler Xiu (technology and regulatory lawyer) suggests some governance awareness [2]. The founding team's MIT pedigree and Asia Top 40 Under 40 recognition indicate talent quality. For a company with ~50 employees, team trust is difficult to evaluate externally.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MIMI acknowledges or learns from rivals in either its legacy construction business or the AI/robotics space it is entering. The Rice Robotics partnership suggests awareness of the competitive landscape, but the company does not publicly benchmark against established smart building competitors like Siemens, Honeywell, or Johnson Controls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Hong Kong construction fit-out to AI infrastructure and robotics through Axonex Intelligence is a dramatic strategic shift that demonstrates existential flexibility [2]. Founding an AI subsidiary and signing a robotics JV within a year of IPO shows willingness to reinvent the business model. The risk is that this flexibility reflects desperation rather than strategic clarity.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Chan has shown courage by pivoting a construction company toward AI and robotics despite limited resources and a collapsing stock price [2]. Pursuing a vision of smart cities as a $7M market cap company requires conviction. However, the Nasdaq non-compliance notice and 93% stock decline from IPO suggest the market does not yet validate this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Mint Incorporation is a Hong Kong-based micro-cap ($7M market cap) that IPO'd on Nasdaq in January 2025 at $4.00/share and has since declined 93% to $0.26, reflecting deep market skepticism about its fundamentals and pivot strategy [1]. The core fit-out business generated just $3.27M TTM revenue with a -44.7% profit margin, while CEO Damian Chan (MIT-trained architect, Asia Top 40 Under 40) is attempting an ambitious pivot to AI infrastructure, robotics, and smart facility management through subsidiary Axonex Intelligence and a February 2026 Rice Robotics JV [2]. The balance sheet provides limited comfort: $4.6M cash against $1.25M debt, but with -$3.27M operating cash flow, runway is approximately one year without additional capital raises [1].</w:t>
      </w:r>
    </w:p>
    <w:p>
      <w:pPr>
        <w:spacing w:after="120"/>
      </w:pPr>
      <w:r>
        <w:rPr>
          <w:rFonts w:ascii="Calibri" w:hAnsi="Calibri"/>
          <w:b w:val="0"/>
          <w:color w:val="3A4A28"/>
          <w:sz w:val="20"/>
        </w:rPr>
        <w:t>The bear case is overwhelming at this stage. MIMI faces Nasdaq non-compliance for minimum bid price, creating real delisting risk that would destroy remaining shareholder value [3]. Revenue declined 33.8% YoY with no analyst coverage, no earnings estimates, and no visibility on when (or if) the AI/robotics pivot will generate revenue. The company's $7M market cap makes it vulnerable to manipulation — The Bear Cave has flagged pump-and-dump risks in small-cap Chinese stocks listed on U.S. exchanges [3]. While the Axonex AI subsidiary and Rice Robotics JV represent optionality, the probability-weighted outcome for a pre-revenue AI pivot by a micro-cap construction company with one year of cash runway is unfavorable. Institutional investors are absent, and the stock trades with extreme volatility typical of penny stocks.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Rice Robotics JV execution — if the Physical AI Joint Venture in Asia moves from MoU to revenue-generating operations, it could validate the AI pivot and rerate the stock [2]</w:t>
      </w:r>
    </w:p>
    <w:p>
      <w:pPr>
        <w:spacing w:before="40" w:after="40"/>
        <w:ind w:left="283"/>
      </w:pPr>
      <w:r>
        <w:rPr>
          <w:rFonts w:ascii="Calibri" w:hAnsi="Calibri"/>
          <w:b/>
          <w:color w:val="4A6B25"/>
          <w:sz w:val="20"/>
        </w:rPr>
        <w:t xml:space="preserve">2. </w:t>
      </w:r>
      <w:r>
        <w:rPr>
          <w:rFonts w:ascii="Calibri" w:hAnsi="Calibri"/>
          <w:b w:val="0"/>
          <w:color w:val="3A4A28"/>
          <w:sz w:val="20"/>
        </w:rPr>
        <w:t>Axonex Intelligence commercial launch — deploying AI-powered smart facility management solutions with paying customers would prove the technology thesis [2]</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resolution — a reverse stock split or sustained price recovery above $1.00 would remove the overhang of delisting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 non-compliance with minimum bid price requirements could result in removal from Nasdaq, devastating liquidity and institutional interest [3]</w:t>
      </w:r>
    </w:p>
    <w:p>
      <w:pPr>
        <w:spacing w:before="40" w:after="40"/>
        <w:ind w:left="283"/>
      </w:pPr>
      <w:r>
        <w:rPr>
          <w:rFonts w:ascii="Calibri" w:hAnsi="Calibri"/>
          <w:b/>
          <w:color w:val="4A6B25"/>
          <w:sz w:val="20"/>
        </w:rPr>
        <w:t xml:space="preserve">2. </w:t>
      </w:r>
      <w:r>
        <w:rPr>
          <w:rFonts w:ascii="Calibri" w:hAnsi="Calibri"/>
          <w:b w:val="0"/>
          <w:color w:val="3A4A28"/>
          <w:sz w:val="20"/>
        </w:rPr>
        <w:t>Cash runway exhaustion — with -$3.27M annual operating cash flow and $4.6M cash, the company may need dilutive capital raises within 12 months [1]</w:t>
      </w:r>
    </w:p>
    <w:p>
      <w:pPr>
        <w:spacing w:before="40" w:after="40"/>
        <w:ind w:left="283"/>
      </w:pPr>
      <w:r>
        <w:rPr>
          <w:rFonts w:ascii="Calibri" w:hAnsi="Calibri"/>
          <w:b/>
          <w:color w:val="4A6B25"/>
          <w:sz w:val="20"/>
        </w:rPr>
        <w:t xml:space="preserve">3. </w:t>
      </w:r>
      <w:r>
        <w:rPr>
          <w:rFonts w:ascii="Calibri" w:hAnsi="Calibri"/>
          <w:b w:val="0"/>
          <w:color w:val="3A4A28"/>
          <w:sz w:val="20"/>
        </w:rPr>
        <w:t>Unproven AI pivot — the transition from Hong Kong construction fit-out to AI/robotics is entirely aspirational with zero AI revenue, no deployed products, and extreme execution risk for a micro-cap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MIMI's core fit-out and repair business in Hong Kong has minimal AI moat — construction services face moderate automation risk from AI-assisted design tools and robotic construction, though hands-on fit-out work remains difficult to automate near-term [2]. The company has no proprietary technology, patents, or data advantages that would protect it from AI-enabled competitors. Revenue concentration in a single geography (Hong Kong) with commodity-like services creates vulnerability. AI Opportunity (1/1): The Axonex Intelligence subsidiary and Rice Robotics JV position MIMI as a potential AI beneficiary if the pivot to smart facility management and robotics succeeds [2]. CEO Chan's MIT architecture background and the integration of IoT, data analytics, and AI-powered robotics into property management could create differentiation, but this is entirely aspirational with zero revenue from AI operations to date.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Stockanalysis.com — MIMI financial data, revenue $3.27M TTM, -44.7% profit margin, accessed March 2026</w:t>
      </w:r>
    </w:p>
    <w:p>
      <w:pPr>
        <w:spacing w:before="20" w:after="20"/>
        <w:ind w:left="170"/>
      </w:pPr>
      <w:r>
        <w:rPr>
          <w:rFonts w:ascii="Calibri" w:hAnsi="Calibri"/>
          <w:b/>
          <w:color w:val="4A6B25"/>
          <w:sz w:val="15"/>
        </w:rPr>
        <w:t xml:space="preserve">2. </w:t>
      </w:r>
      <w:r>
        <w:rPr>
          <w:rFonts w:ascii="Calibri" w:hAnsi="Calibri"/>
          <w:b w:val="0"/>
          <w:color w:val="3A4A28"/>
          <w:sz w:val="17"/>
        </w:rPr>
        <w:t>Mint Incorporation corporate website and TipRanks — CEO Damian Chan background, Axonex Intelligence subsidiary, Rice Robotics JV, January-February 2026</w:t>
      </w:r>
    </w:p>
    <w:p>
      <w:pPr>
        <w:spacing w:before="20" w:after="20"/>
        <w:ind w:left="170"/>
      </w:pPr>
      <w:r>
        <w:rPr>
          <w:rFonts w:ascii="Calibri" w:hAnsi="Calibri"/>
          <w:b/>
          <w:color w:val="4A6B25"/>
          <w:sz w:val="15"/>
        </w:rPr>
        <w:t xml:space="preserve">3. </w:t>
      </w:r>
      <w:r>
        <w:rPr>
          <w:rFonts w:ascii="Calibri" w:hAnsi="Calibri"/>
          <w:b w:val="0"/>
          <w:color w:val="3A4A28"/>
          <w:sz w:val="17"/>
        </w:rPr>
        <w:t>Nasdaq / Stockinvest.us — MIMI Nasdaq non-compliance notice, Bear Cave pump-and-dump warnings for small-cap Chinese stocks,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