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MKC</w:t>
      </w:r>
      <w:r>
        <w:rPr>
          <w:rFonts w:ascii="Calibri" w:hAnsi="Calibri"/>
          <w:b/>
          <w:color w:val="1A2010"/>
          <w:sz w:val="40"/>
        </w:rPr>
        <w:t xml:space="preserve">  McCormick &amp; Company, Incorporated</w:t>
      </w:r>
    </w:p>
    <w:p>
      <w:pPr>
        <w:spacing w:after="120"/>
      </w:pPr>
      <w:r>
        <w:rPr>
          <w:rFonts w:ascii="Calibri" w:hAnsi="Calibri"/>
          <w:b/>
          <w:color w:val="6E8450"/>
          <w:sz w:val="18"/>
        </w:rPr>
        <w:t>DIVIDEND SLEEVE · 2026-04-07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McCormick &amp; Company is the global leader in spices, seasonings, and flavor solutions. The company operates in two segments: Consumer (retail brands including McCormick, French's, Frank's RedHot, OLD BAY, Lawry's) and Flavor Solutions (foodservice and industrial ingredients). Founded in 1889, McCormick has paid consecutive dividends for over 100 years and raised dividends for 38 consecutive years, making it a Dividend Aristocrat.</w:t>
      </w:r>
    </w:p>
    <w:p>
      <w:r>
        <w:rPr>
          <w:rFonts w:ascii="Calibri" w:hAnsi="Calibri"/>
          <w:b/>
          <w:color w:val="6E8450"/>
          <w:sz w:val="18"/>
        </w:rPr>
        <w:t>14,100 Employees · https://www.mccormickcorporation.com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McCormick completed the acquisition of an additional 25% ownership in McCormick de Mexico on January 2, 2026, consolidating a key growth market [1]. The company has expanded through bolt-on acquisitions (Cholula, FONA International) but these are incremental extensions rather than transformative pivots. AI Deployment (2/2): McCormick has deployed AI in product development through a partnership with IBM, using AI to analyze flavor compounds and consumer preferences across 500+ product developers worldwide — this is a distinctive, measurable application of AI with real product outcomes [2]. The company also leverages intelligent automation and supply chain analytics for productivity gains. Market Share (1/2): McCormick is the undisputed global leader in spices and seasonings with dominant shelf space at major retailers, but the category is fragmented at retail level with private label pressure [1]. Pipeline (0/2): No specific next-generation product launches with timelines announced; innovation is steady-state flavor line extensions rather than breakthrough products. R&amp;D Intensity (1/1): Significant investment in flavor science, AI-powered product development, and digital capabilities including ongoing ERP modernization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McCormick's purpose — 'To Stand Together for the Future of Flavor' — is specific, thoughtful, and genuinely connects the company's work to a larger vision of sustainable food systems and community empowerment [3]. CEO Brendan Foley, the 11th CEO in 135 years, has emphasized focusing on raw consumer needs and competitive advantage, demonstrating purposeful leadership succession [2]. Community Impact (2/2): McCormick maintains deep engagement with farming communities where spices are sourced, investing in sustainable agriculture, farmer livelihoods, and a Global Human Rights Policy. The company works toward net zero emissions by 2050 and has a comprehensive Purpose-led Performance ESG framework [3]. Employee Retention (1/2): McCormick's 135-year history with only 11 CEOs suggests exceptional leadership continuity. Foley's emphasis on culture and engaged employees globally reflects intentional talent stewardship, though no specific retention metrics were found [2]. Insider Buying (1/2): Long-tenured institutional investor base and management equity ownership demonstrate alignment, though specific recent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McCormick's financial profile is excellent across nearly all metrics. D/E of 65.2% is just under the 70% target, reflecting disciplined leverage management [5]. ROE of 25.3% substantially exceeds the 15% target, demonstrating efficient capital deployment in a consumer staples business. Q1 FY2026 revenue grew 16.7% YoY to $1.87B, boosted by the McCormick de Mexico consolidation (organic growth of 1.2%) [1]. Forward P/E of 15.2x is well below the 20x target for a Dividend Aristocrat. Profit margin of 23.1% exceeds the 20% target, reflecting pricing power and cost discipline [5]. The dividend profile is exceptional: 3.93% yield, 30% payout ratio, 100+ consecutive years paid, 38 consecutive years of growth, and approximately 8% 5yr dividend growth CAGR — a textbook Dividend Aristocrat [5]. 5yr revenue CAGR of 4.1% reflects the consumer staples growth ceiling. Liquidity floor cleared: 4.39M avg volume × $50.80 = $223M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McCormick is a strong infinite game player with a 135-year track record of playing to keep playing. The company's multi-generational leadership continuity (only 11 CEOs in 135 years), 38 consecutive years of dividend growth, and commitment to sustainable sourcing demonstrate long-horizon thinking. CEO Foley's focus on 'raw consumer needs' over short-term trends reflects infinite game instincts, though the company's low-growth consumer staples position limits the scope for transformative strategic action.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Stand Together for the Future of Flavor' is a genuine, distinctive purpose that connects McCormick's business to sustainable food systems, farming communities, and cultural heritage [3]. The 135-year track record of consistent execution validates the cause's durability — McCormick has maintained its flavor-focused identity through world wars, the industrial food revolution, and the organic/natural movement. However, the cause hasn't been tested by a truly transformative strategic sacrifice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McCormick's 135-year history with only 11 CEOs suggests exceptional organizational stability and leadership trust [2]. CEO Foley's emphasis on engaged employees globally and the company's investment in farmer communities reflects a stakeholder-oriented culture. However, the ongoing ERP modernization and organizational changes create transition risks, and no specific employee satisfaction data was found to confirm high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McCormick acknowledges private label competition and emerging specialty brands as motivations to innovate in flavor and packaging. CEO Foley's strategy of focusing on competitive advantage while 'radically simplifying everything else' reflects learning from rivals' strengths rather than defensive market-share warfare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McCormick has evolved from a regional spice company to a global flavor solutions platform, expanding from consumer retail into foodservice and industrial ingredients [1]. The acquisition strategy (Cholula, FONA International, McCormick de Mexico consolidation) shows strategic evolution. However, the core business model — sourcing, processing, and selling spices — has remained fundamentally unchanged for 135 years. This is consistency, not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Foley told leadership they 'couldn't wait for the industry to get healthy,' demonstrating willingness to invest during challenging times rather than retrench [2]. The decision to derisk the ERP implementation by shifting from a 'big bang' to a phased approach shows practical courage to change course when a strategy isn't working. However, McCormick has not made a truly contrarian or costly strategic bet that sacrificed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McCormick is the global flavor leader delivering Dividend Aristocrat reliability — 38 consecutive years of dividend growth, 3.93% yield, 30% payout ratio, and 100+ years of consecutive dividend payments [5]. Q1 FY2026 revenue surged 16.7% YoY to $1.87B (including McCormick de Mexico consolidation), and FY2026 guidance calls for 13-17% revenue growth with 16-20% adjusted operating income growth [1]. At 15.2x forward P/E, the stock is attractively valued for a consumer staples Dividend Aristocrat with 25.3% ROE and 23.1% profit margin. The AI-powered product development partnership with IBM across 500+ developers is a genuine competitive differentiator in flavor innovation [2]. McCormick's debt is manageable at 65.2% D/E with strong free cash flow supporting the dividend and bolt-on acquisitions. The company's 135-year history and 11-CEO leadership lineage provide unmatched organizational stability.</w:t>
      </w:r>
    </w:p>
    <w:p>
      <w:pPr>
        <w:spacing w:after="120"/>
      </w:pPr>
      <w:r>
        <w:rPr>
          <w:rFonts w:ascii="Calibri" w:hAnsi="Calibri"/>
          <w:b w:val="0"/>
          <w:color w:val="3A4A28"/>
          <w:sz w:val="20"/>
        </w:rPr>
        <w:t>The bear case focuses on organic growth limitations and acquisition-dependent revenue expansion. Excluding the McCormick de Mexico consolidation, organic growth in Q1 FY2026 was only 1.2%, reflecting the structural challenge of growing a mature consumer staples business [1]. Volume growth in the spice category faces headwinds from private label competition, changing consumer cooking habits, and inflation-driven trade-down behavior. The FY2026 EPS guidance of $3.05-$3.13 (2-5% growth) is modest despite the strong revenue growth headline, suggesting margin dilution from the Mexico consolidation. The ERP modernization project carries execution risk — management pivoted from a 'big bang' approach to phased deployment, acknowledging implementation complexity [2]. The consumer staples sector faces broader challenges from GLP-1 weight-loss drugs potentially reducing food consumption and from changing dietary preferences. The stock's recent decline to $50.80 from 52-week highs reflects market skepticism about the growth trajectory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McCormick de Mexico consolidation adding meaningful revenue and profit scale in a high-growth emerging market, with FY2026 guidance of 13-17% total revenue growth [1]</w:t>
      </w:r>
    </w:p>
    <w:p>
      <w:pPr>
        <w:spacing w:before="40" w:after="40"/>
        <w:ind w:left="283"/>
      </w:pPr>
      <w:r>
        <w:rPr>
          <w:rFonts w:ascii="Calibri" w:hAnsi="Calibri"/>
          <w:b/>
          <w:color w:val="4A6B25"/>
          <w:sz w:val="20"/>
        </w:rPr>
        <w:t xml:space="preserve">2. </w:t>
      </w:r>
      <w:r>
        <w:rPr>
          <w:rFonts w:ascii="Calibri" w:hAnsi="Calibri"/>
          <w:b w:val="0"/>
          <w:color w:val="3A4A28"/>
          <w:sz w:val="20"/>
        </w:rPr>
        <w:t>AI-powered flavor innovation through IBM partnership driving product development efficiency across 500+ developers, creating differentiated new product pipeline [2]</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status with 38 consecutive years of growth, 3.93% yield, and 30% payout ratio providing income floor and attracting long-term capital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stagnation — excluding acquisitions, organic sales grew only 1.2% in Q1 FY2026, reflecting mature category dynamics and private label competitive pressure [1]</w:t>
      </w:r>
    </w:p>
    <w:p>
      <w:pPr>
        <w:spacing w:before="40" w:after="40"/>
        <w:ind w:left="283"/>
      </w:pPr>
      <w:r>
        <w:rPr>
          <w:rFonts w:ascii="Calibri" w:hAnsi="Calibri"/>
          <w:b/>
          <w:color w:val="4A6B25"/>
          <w:sz w:val="20"/>
        </w:rPr>
        <w:t xml:space="preserve">2. </w:t>
      </w:r>
      <w:r>
        <w:rPr>
          <w:rFonts w:ascii="Calibri" w:hAnsi="Calibri"/>
          <w:b w:val="0"/>
          <w:color w:val="3A4A28"/>
          <w:sz w:val="20"/>
        </w:rPr>
        <w:t>ERP modernization execution risk — the mid-implementation pivot from 'big bang' to phased deployment signals complexity that could disrupt operations and inflate costs [2]</w:t>
      </w:r>
    </w:p>
    <w:p>
      <w:pPr>
        <w:spacing w:before="40" w:after="40"/>
        <w:ind w:left="283"/>
      </w:pPr>
      <w:r>
        <w:rPr>
          <w:rFonts w:ascii="Calibri" w:hAnsi="Calibri"/>
          <w:b/>
          <w:color w:val="4A6B25"/>
          <w:sz w:val="20"/>
        </w:rPr>
        <w:t xml:space="preserve">3. </w:t>
      </w:r>
      <w:r>
        <w:rPr>
          <w:rFonts w:ascii="Calibri" w:hAnsi="Calibri"/>
          <w:b w:val="0"/>
          <w:color w:val="3A4A28"/>
          <w:sz w:val="20"/>
        </w:rPr>
        <w:t>Consumer staples structural headwinds — GLP-1 weight-loss drug adoption, changing dietary patterns, and inflation-driven trade-down to private label could compress volumes and pricing power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McCormick's core business — physical spice and seasoning products — is structurally immune to AI substitution. Consumers cannot download flavors, and foodservice operators cannot replace physical ingredients with software [1]. The spice supply chain involves agricultural sourcing, processing, and distribution infrastructure that AI cannot displace. If anything, AI-driven food trends and personalized nutrition could increase demand for specialty seasonings. The company's 135-year supplier relationships, proprietary flavor formulations, and dominant retail shelf space create moats that AI cannot erode. AI Opportunity (1/1): McCormick is a genuine AI adopter — its IBM partnership deploys AI across 500+ product developers for flavor innovation, and the company leverages intelligent automation for supply chain optimization and productivity gains, creating measurable operational benefits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McCormick Q1 FY2026 Earnings Release — $1.87B revenue (up 16.7%), organic growth 1.2%, FY2026 guidance reaffirmed, March 2026; FY2025 Results and 2026 Outlook, January 2026</w:t>
      </w:r>
    </w:p>
    <w:p>
      <w:pPr>
        <w:spacing w:before="20" w:after="20"/>
        <w:ind w:left="170"/>
      </w:pPr>
      <w:r>
        <w:rPr>
          <w:rFonts w:ascii="Calibri" w:hAnsi="Calibri"/>
          <w:b/>
          <w:color w:val="4A6B25"/>
          <w:sz w:val="15"/>
        </w:rPr>
        <w:t xml:space="preserve">2. </w:t>
      </w:r>
      <w:r>
        <w:rPr>
          <w:rFonts w:ascii="Calibri" w:hAnsi="Calibri"/>
          <w:b w:val="0"/>
          <w:color w:val="3A4A28"/>
          <w:sz w:val="17"/>
        </w:rPr>
        <w:t>Bain &amp; Company CEO Interview — Brendan Foley on leadership, AI innovation, IBM partnership for flavor AI, ERP derisking strategy; National CIO Review — McCormick leverages AI and analytics, 2025-2026</w:t>
      </w:r>
    </w:p>
    <w:p>
      <w:pPr>
        <w:spacing w:before="20" w:after="20"/>
        <w:ind w:left="170"/>
      </w:pPr>
      <w:r>
        <w:rPr>
          <w:rFonts w:ascii="Calibri" w:hAnsi="Calibri"/>
          <w:b/>
          <w:color w:val="4A6B25"/>
          <w:sz w:val="15"/>
        </w:rPr>
        <w:t xml:space="preserve">3. </w:t>
      </w:r>
      <w:r>
        <w:rPr>
          <w:rFonts w:ascii="Calibri" w:hAnsi="Calibri"/>
          <w:b w:val="0"/>
          <w:color w:val="3A4A28"/>
          <w:sz w:val="17"/>
        </w:rPr>
        <w:t>McCormick Corporate ESG Approach — 'Stand Together for the Future of Flavor' purpose, net zero by 2050, Global Human Rights Policy, farming community engagement; Sustainalytics Average ESG risk management</w:t>
      </w:r>
    </w:p>
    <w:p>
      <w:pPr>
        <w:spacing w:before="20" w:after="20"/>
        <w:ind w:left="170"/>
      </w:pPr>
      <w:r>
        <w:rPr>
          <w:rFonts w:ascii="Calibri" w:hAnsi="Calibri"/>
          <w:b/>
          <w:color w:val="4A6B25"/>
          <w:sz w:val="15"/>
        </w:rPr>
        <w:t xml:space="preserve">4. </w:t>
      </w:r>
      <w:r>
        <w:rPr>
          <w:rFonts w:ascii="Calibri" w:hAnsi="Calibri"/>
          <w:b w:val="0"/>
          <w:color w:val="3A4A28"/>
          <w:sz w:val="17"/>
        </w:rPr>
        <w:t>Harvard Business Review Case Study — McCormick &amp; Co: Deploying Artificial Intelligence in New Product Development (W25509)</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MKC (McCormick),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