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MLCO</w:t>
      </w:r>
      <w:r>
        <w:rPr>
          <w:rFonts w:ascii="Calibri" w:hAnsi="Calibri"/>
          <w:b/>
          <w:color w:val="1A2010"/>
          <w:sz w:val="40"/>
        </w:rPr>
        <w:t xml:space="preserve">  Melco Resorts &amp; Entertainment Limited</w:t>
      </w:r>
    </w:p>
    <w:p>
      <w:pPr>
        <w:spacing w:after="120"/>
      </w:pPr>
      <w:r>
        <w:rPr>
          <w:rFonts w:ascii="Calibri" w:hAnsi="Calibri"/>
          <w:b/>
          <w:color w:val="6E8450"/>
          <w:sz w:val="18"/>
        </w:rPr>
        <w:t>GROWTH SLEEVE · 2026-04-15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Hong Kong</w:t>
      </w:r>
    </w:p>
    <w:p>
      <w:pPr>
        <w:spacing w:after="80"/>
      </w:pPr>
      <w:r>
        <w:rPr>
          <w:rFonts w:ascii="Calibri" w:hAnsi="Calibri"/>
          <w:b w:val="0"/>
          <w:color w:val="3A4A28"/>
          <w:sz w:val="20"/>
        </w:rPr>
        <w:t>Melco Resorts &amp; Entertainment operates integrated casino resorts in Macau (City of Dreams, Studio City, Altira), the Philippines (City of Dreams Manila), and Cyprus (City of Dreams Mediterranean). Controlled by Lawrence Ho, the company is a mid-tier Macau concessionaire focused on premium-mass gaming and non-gaming entertainment.</w:t>
      </w:r>
    </w:p>
    <w:p>
      <w:r>
        <w:rPr>
          <w:rFonts w:ascii="Calibri" w:hAnsi="Calibri"/>
          <w:b/>
          <w:color w:val="6E8450"/>
          <w:sz w:val="18"/>
        </w:rPr>
        <w:t>21,000 Employees · https://www.melco-resorts.com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2025 revenue of $5.16B (up 11.3% YoY) and earnings of $185M (up 325%) reflect the Macau gaming recovery, with 2026 guidance of $5.31B and Adjusted EBITDA improving to ~$1.3B from $1.1B in 2024 [1][2]. AI Deployment (1/2): Melco is incorporating 'latest AI-powered service innovations' in guest experience but AI is not a core differentiator versus Wynn or Las Vegas Sands [3]. Market Share (1/2): Melco is a mid-tier Macau concessionaire behind SJM, Galaxy, and Sands China, with premium-mass focus rather than market leadership. Pipeline (1/2): Cyprus City of Dreams Mediterranean ramping, Studio City Phase 2, and Macau mass-market capacity drive the 2026 growth outlook [1]. R&amp;D Intensity (0/1): Gaming operators invest in property refresh and digital guest experience, not technology R&amp;D in a meaningful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Gaming and casino operations carry inherent concerns around addiction and social harm, which limits the inspirational ceiling regardless of execution quality. Melco's CSR framework touches youth, education, women, culture, and responsible gaming but the core business remains gambling [4]. Community Impact (1/2): Melco joined S&amp;P's 2026 Sustainability Yearbook and maintains meaningful Macau community programs, SME supplier support, and environmental commitments [4]. Employee Retention (1/2): The company returned staff eliminated during COVID as it entered 'full competition mode' under Lawrence Ho, but Macau casino work has high turnover industry-wide [3]. Insider Buying (0/2): Lawrence Ho is founder/controlling shareholder with significant equity, but no notable recent insider buying signal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financial profile. Forward P/E of 7.07x is inexpensive reflecting Macau recovery skepticism, but profit margin is just 3.58% and revenue growth of 8.6% YoY is modest [5]. The dividend will return in 2026 per management, adding a yield catalyst [2]. Moody's expects significant leverage reduction through end-2026 on solid revenue growth and profitability, indicating balance sheet stress that is improving but not yet resolved [6]. Liquidity floor cleared: 2.31M avg volume x $5.68 = $13.1M daily [5]. Adjusted EBITDA guidance of ~$1.3B in 2026 vs. $2.3B market cap is attractive on an EV/EBITDA basis but debt load remains the central question.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Melco under Lawrence Ho demonstrates founder-led long-term thinking and geographic diversification (Macau, Manila, Cyprus), but the core business is a zero-sum concession battle in a single regulated jurisdiction where winning quarter-over-quarter GGR matters more than infinite-game principles. The 'full competition mode' framing is more finite than infinite.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Melco's stated mission centers on entertainment excellence and responsible gaming, but the casino gaming just cause is inherently limited — the business profits from gambling losses, which caps the 'just cause' ceiling regardless of how well it is executed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Founder-led culture under Lawrence Ho emphasizes loyalty and disruption, and the company rehired managers eliminated during COVID as a signal of long-term commitment [3]. Macau casino industry turnover and regulatory pressure constrain team continuity.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 has publicly acknowledged Sands China, Galaxy, Wynn, and SJM as worthy competitors and uses them as benchmarks to push Melco forward in Macau's concession race [3]. The 'full competition mode' language reflects rival-driven urgency.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Melco has pivoted from Macau-only to a three-country integrated resort operator (Macau + Manila + Cyprus) and repositioned from VIP-junket dependence toward premium mass gaming after Beijing's 2022 concession reform [1][3]. This demonstrates meaningful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 took courage to invest in Cyprus during COVID and to rebuild staff post-pandemic, but the concession renewal required capitulation to Macau's non-gaming investment mandates, which was compliance rather than leadership [1]. Quarterly GGR market share reporting dominates the strategic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Melco is a leveraged play on Macau's continued recovery and the return of premium-mass gaming, with 2025 revenue of $5.16B (up 11.3%) and 2026 guidance to $5.31B and Adjusted EBITDA of ~$1.3B (vs. $1.1B in 2024) [1][2]. The dividend will return in 2026, and Moody's expects meaningful leverage reduction through end-2026 on solid revenue growth and profitability [2][6]. Forward P/E of 7.07x and analyst 12-month price target of $10.10 (+81% from $5.68) reflect significant upside if the Macau thesis plays out [5][1]. Lawrence Ho's founder-led operating model is in 'full competition mode,' with City of Dreams Mediterranean in Cyprus and Studio City Phase 2 providing diversification beyond pure Macau exposure [3].</w:t>
      </w:r>
    </w:p>
    <w:p>
      <w:pPr>
        <w:spacing w:after="120"/>
      </w:pPr>
      <w:r>
        <w:rPr>
          <w:rFonts w:ascii="Calibri" w:hAnsi="Calibri"/>
          <w:b w:val="0"/>
          <w:color w:val="3A4A28"/>
          <w:sz w:val="20"/>
        </w:rPr>
        <w:t>The bear case is substantial. Gaming is the entire business model — a -1 Inspire score and 'Gambling' negative attribution reflect genuine social concerns about the product. Macau concession renewal locked Melco into non-gaming investment commitments that pressure returns on capital, and China's regulatory posture toward junket VIP gaming remains hostile [1]. Profit margin of 3.58% is thin, and the absence of reported D/E and ROE data in the yfinance pull reflects a capital-intensive balance sheet still recovering from the COVID shock [5]. Competition from Sands China, Galaxy, Wynn Macau, and SJM is brutal for market share, and Manila and Cyprus properties are sub-scale versus Macau. iGaming and sports betting expansion globally could compress the long-term margin structure of land-based concession casinos.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reinstatement in 2026 per management, signaling balance sheet confidence and providing a yield floor [2]</w:t>
      </w:r>
    </w:p>
    <w:p>
      <w:pPr>
        <w:spacing w:before="40" w:after="40"/>
        <w:ind w:left="283"/>
      </w:pPr>
      <w:r>
        <w:rPr>
          <w:rFonts w:ascii="Calibri" w:hAnsi="Calibri"/>
          <w:b/>
          <w:color w:val="4A6B25"/>
          <w:sz w:val="20"/>
        </w:rPr>
        <w:t xml:space="preserve">2. </w:t>
      </w:r>
      <w:r>
        <w:rPr>
          <w:rFonts w:ascii="Calibri" w:hAnsi="Calibri"/>
          <w:b w:val="0"/>
          <w:color w:val="3A4A28"/>
          <w:sz w:val="20"/>
        </w:rPr>
        <w:t>Adjusted EBITDA acceleration to ~$1.3B in 2026 from $1.1B in 2024 as Macau premium mass continues to recover [2][6]</w:t>
      </w:r>
    </w:p>
    <w:p>
      <w:pPr>
        <w:spacing w:before="40" w:after="40"/>
        <w:ind w:left="283"/>
      </w:pPr>
      <w:r>
        <w:rPr>
          <w:rFonts w:ascii="Calibri" w:hAnsi="Calibri"/>
          <w:b/>
          <w:color w:val="4A6B25"/>
          <w:sz w:val="20"/>
        </w:rPr>
        <w:t xml:space="preserve">3. </w:t>
      </w:r>
      <w:r>
        <w:rPr>
          <w:rFonts w:ascii="Calibri" w:hAnsi="Calibri"/>
          <w:b w:val="0"/>
          <w:color w:val="3A4A28"/>
          <w:sz w:val="20"/>
        </w:rPr>
        <w:t>City of Dreams Mediterranean (Cyprus) and Studio City Phase 2 ramp providing non-Macau revenue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risk — further crackdowns on junket VIP, cross-border capital flows, or currency controls could materially impair Macau GGR [1]</w:t>
      </w:r>
    </w:p>
    <w:p>
      <w:pPr>
        <w:spacing w:before="40" w:after="40"/>
        <w:ind w:left="283"/>
      </w:pPr>
      <w:r>
        <w:rPr>
          <w:rFonts w:ascii="Calibri" w:hAnsi="Calibri"/>
          <w:b/>
          <w:color w:val="4A6B25"/>
          <w:sz w:val="20"/>
        </w:rPr>
        <w:t xml:space="preserve">2. </w:t>
      </w:r>
      <w:r>
        <w:rPr>
          <w:rFonts w:ascii="Calibri" w:hAnsi="Calibri"/>
          <w:b w:val="0"/>
          <w:color w:val="3A4A28"/>
          <w:sz w:val="20"/>
        </w:rPr>
        <w:t>Debt load — leverage remains elevated post-COVID and reduction is scheduled through 2026, leaving limited cushion if Macau recovery stalls [6]</w:t>
      </w:r>
    </w:p>
    <w:p>
      <w:pPr>
        <w:spacing w:before="40" w:after="40"/>
        <w:ind w:left="283"/>
      </w:pPr>
      <w:r>
        <w:rPr>
          <w:rFonts w:ascii="Calibri" w:hAnsi="Calibri"/>
          <w:b/>
          <w:color w:val="4A6B25"/>
          <w:sz w:val="20"/>
        </w:rPr>
        <w:t xml:space="preserve">3. </w:t>
      </w:r>
      <w:r>
        <w:rPr>
          <w:rFonts w:ascii="Calibri" w:hAnsi="Calibri"/>
          <w:b w:val="0"/>
          <w:color w:val="3A4A28"/>
          <w:sz w:val="20"/>
        </w:rPr>
        <w:t>Gaming product category risk — addiction-related regulation, problem gambling lawsuits, and secular ESG pressure on casino investors limit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Physical casino resort operations (gaming floors, hotels, F&amp;B, entertainment) are structurally insulated from AI disruption — people travel to Macau to be in the room, not to interact with a model [3]. However, the sports betting and iGaming adjacency could pressure land-based margins over time, and AI-driven dynamic pricing, player tracking, and responsible gaming tools will separate winners from laggards. AI Opportunity (1/1): Melco's 'AI-powered service innovations' in guest experience, loyalty, and back-of-house operations represent a meaningful margin lever, though execution details are thin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Morningstar — Melco Resorts Earnings: Results Largely in Line; Dividend to Return in 2026</w:t>
      </w:r>
    </w:p>
    <w:p>
      <w:pPr>
        <w:spacing w:before="20" w:after="20"/>
        <w:ind w:left="170"/>
      </w:pPr>
      <w:r>
        <w:rPr>
          <w:rFonts w:ascii="Calibri" w:hAnsi="Calibri"/>
          <w:b/>
          <w:color w:val="4A6B25"/>
          <w:sz w:val="15"/>
        </w:rPr>
        <w:t xml:space="preserve">2. </w:t>
      </w:r>
      <w:r>
        <w:rPr>
          <w:rFonts w:ascii="Calibri" w:hAnsi="Calibri"/>
          <w:b w:val="0"/>
          <w:color w:val="3A4A28"/>
          <w:sz w:val="17"/>
        </w:rPr>
        <w:t>MacroTrends / Analyst consensus — MLCO 2025 revenue $5.16B and 2026 guidance to $5.31B</w:t>
      </w:r>
    </w:p>
    <w:p>
      <w:pPr>
        <w:spacing w:before="20" w:after="20"/>
        <w:ind w:left="170"/>
      </w:pPr>
      <w:r>
        <w:rPr>
          <w:rFonts w:ascii="Calibri" w:hAnsi="Calibri"/>
          <w:b/>
          <w:color w:val="4A6B25"/>
          <w:sz w:val="15"/>
        </w:rPr>
        <w:t xml:space="preserve">3. </w:t>
      </w:r>
      <w:r>
        <w:rPr>
          <w:rFonts w:ascii="Calibri" w:hAnsi="Calibri"/>
          <w:b w:val="0"/>
          <w:color w:val="3A4A28"/>
          <w:sz w:val="17"/>
        </w:rPr>
        <w:t>Macau Business — Exclusive Interview with Lawrence Ho, Chairman and CEO, Melco Resorts</w:t>
      </w:r>
    </w:p>
    <w:p>
      <w:pPr>
        <w:spacing w:before="20" w:after="20"/>
        <w:ind w:left="170"/>
      </w:pPr>
      <w:r>
        <w:rPr>
          <w:rFonts w:ascii="Calibri" w:hAnsi="Calibri"/>
          <w:b/>
          <w:color w:val="4A6B25"/>
          <w:sz w:val="15"/>
        </w:rPr>
        <w:t xml:space="preserve">4. </w:t>
      </w:r>
      <w:r>
        <w:rPr>
          <w:rFonts w:ascii="Calibri" w:hAnsi="Calibri"/>
          <w:b w:val="0"/>
          <w:color w:val="3A4A28"/>
          <w:sz w:val="17"/>
        </w:rPr>
        <w:t>Melco Resorts 2023 Sustainability Report and S&amp;P 2026 Sustainability Yearbook inclusion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MLCO, retrieved April 15, 2026</w:t>
      </w:r>
    </w:p>
    <w:p>
      <w:pPr>
        <w:spacing w:before="20" w:after="20"/>
        <w:ind w:left="170"/>
      </w:pPr>
      <w:r>
        <w:rPr>
          <w:rFonts w:ascii="Calibri" w:hAnsi="Calibri"/>
          <w:b/>
          <w:color w:val="4A6B25"/>
          <w:sz w:val="15"/>
        </w:rPr>
        <w:t xml:space="preserve">6. </w:t>
      </w:r>
      <w:r>
        <w:rPr>
          <w:rFonts w:ascii="Calibri" w:hAnsi="Calibri"/>
          <w:b w:val="0"/>
          <w:color w:val="3A4A28"/>
          <w:sz w:val="17"/>
        </w:rPr>
        <w:t>Moody's Investors Service — Melco leverage reduction outlook through end-2026, September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