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MLEC</w:t>
      </w:r>
      <w:r>
        <w:rPr>
          <w:rFonts w:ascii="Calibri" w:hAnsi="Calibri"/>
          <w:b/>
          <w:color w:val="1A2010"/>
          <w:sz w:val="40"/>
        </w:rPr>
        <w:t xml:space="preserve">  Moolec Science SA</w:t>
      </w:r>
    </w:p>
    <w:p>
      <w:pPr>
        <w:spacing w:after="120"/>
      </w:pPr>
      <w:r>
        <w:rPr>
          <w:rFonts w:ascii="Calibri" w:hAnsi="Calibri"/>
          <w:b/>
          <w:color w:val="6E8450"/>
          <w:sz w:val="18"/>
        </w:rPr>
        <w:t>GROWTH SLEEVE · 2026-04-28 · Inspire: 63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Cayman Islands</w:t>
      </w:r>
    </w:p>
    <w:p>
      <w:pPr>
        <w:spacing w:after="80"/>
      </w:pPr>
      <w:r>
        <w:rPr>
          <w:rFonts w:ascii="Calibri" w:hAnsi="Calibri"/>
          <w:b w:val="0"/>
          <w:color w:val="3A4A28"/>
          <w:sz w:val="20"/>
        </w:rPr>
        <w:t>Moolec Science SA is a science-based ingredient company that develops food ingredients, nutritional supplements, and meat replacements using molecular farming technology and precision fermentation platforms. The company produces real animal proteins in plants using safflowers, chickpeas, soybeans, and other crops, aiming to upgrade the taste, nutrition, and affordability of alternative protein products.</w:t>
      </w:r>
    </w:p>
    <w:p>
      <w:r>
        <w:rPr>
          <w:rFonts w:ascii="Calibri" w:hAnsi="Calibri"/>
          <w:b/>
          <w:color w:val="6E8450"/>
          <w:sz w:val="18"/>
        </w:rPr>
        <w:t>https://www.moolecscience.com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Moolec went public via SPAC in 2023 and completed a transformative business combination in June 2025 that expanded its capabilities across food ingredients, ag-biologicals, precision fermentation, biomaterials, and R&amp;D services [1]. While the combination broadened the platform, the company remains pre-revenue at commercial scale and has not yet launched a product generating meaningful recurring revenue. AI Deployment (0/2): No evidence of AI-powered products shipping to customers or quantified internal AI-driven cost savings. The company's innovation is centered on molecular farming and precision fermentation biology, not artificial intelligence [2]. Market Share (1/2): Moolec occupies a unique niche in molecular farming — producing animal proteins directly in plant crops — a category with very few competitors. In February 2026, the company achieved one of the highest commercial-scale GLA (gamma-linolenic acid) concentrations from its U.S. GLASO1 safflower crushing, representing a meaningful technical milestone [1]. However, the alternative protein market is crowded with well-funded competitors using different approaches. Product Pipeline (1/2): The safflower platform breakthrough in February 2026 demonstrates advancing pipeline maturity, and the company has multiple crop platforms (safflower, soy, chickpea) in various stages of development [1]. Specific commercial launch timelines with revenue visibility remain limited. R&amp;D Intensity (1/1): As a pre-revenue biotech, virtually all of Moolec's spending is R&amp;D-oriented, well above industry average for its stage.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Moolec's purpose — 'Planting the future of food' — is specific, thoughtful, and connects its molecular farming technology to a larger vision of sustainable, affordable nutrition [2]. The mission goes beyond generic corporate language, articulating a genuine belief that food systems need transformation and that plant-based protein production can address global food security and environmental challenges. It differentiates from peers and reflects intentionality, though it has not yet been validated by decades of execution. Community Impact (1/2): The company's core technology platform inherently serves sustainability goals — producing animal proteins in plants reduces the environmental footprint of protein production. The Inspire Insight positive attributions include Water Conservation, GHG Emissions, and Product Sustainability, suggesting recognized environmental benefits [3]. However, as a pre-revenue startup, specific charitable programs or community investment data with dollar amounts are not available. Employee Retention (0/2): No public data available on employee tenure, voluntary turnover, or headcount trends. The company does not disclose employee count. Insider Buying (1/2): Moolec gained a new controlling shareholder in 2025 when AIGC took a 65% stake, representing significant capital commitment to the company's vision [1]. However, this is a strategic investment rather than open-market insider buying by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Moolec's financial profile is extremely weak, reflecting its pre-revenue biotech stage. The company has a market cap of only ~$5.9M, negative trailing EPS of -$258.69, and negative forward EPS of -$0.24 [4]. Profit margin is 0% with no reported revenue. Return on equity and debt-to-equity data are unavailable. The company faced Nasdaq delisting risk in 2025 for failing to maintain a $1.00 minimum bid price and for delayed annual report filing [1]. With virtually no financial metrics available to score mechanically, and all available indicators pointing to severe financial distress, the Infrastructure score rounds to 0. Liquidity floor check: avg daily volume of 1,255,931 × $8.09 = ~$10.2M, which passes the $1M threshold, but the absence of scorable financial metrics yields a score of 0/10.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Moolec demonstrates genuine Just Cause motivation — building a more sustainable food system through molecular farming — but as a young company that went public via SPAC and recently underwent a major business combination, it lacks the track record to validate infinite game thinking. The leadership transition from founder Gaston Paladini to new CEO Alejandro Antalich following the 2025 business combination creates uncertainty about long-term strategic continuity.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Moolec's Just Cause — transforming the food system by producing real animal proteins in plants — is genuine, inclusive, service-oriented, and idealistic [2]. It describes a future state where protein production is more sustainable and affordable, and it connects the company's molecular farming technology to solving a real global challenge. However, the cause has not been tested through crisis or multi-decade consistency; the company is only a few years old as a public entity. The recent SPAC merger and business combination suggest the organizational structure is still being defined. Score: 2 weighted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Limited evidence is available on Moolec's organizational culture and team dynamics. The company describes itself as being run by a diverse, highly qualified team of Ph.D.s and food insiders, and leadership emphasizes a 'stewardship mindset' at all levels [2]. However, the CEO transition from founder Paladini to Antalich following the business combination, combined with the AIGC controlling shareholder takeover, suggests organizational instability. No data on employee retention, tenure, or cultural practices is publicly available. Score: 0 weighted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Moolec positions itself as creating a new category within alternative proteins — molecular farming — rather than directly competing to 'beat' established players like Beyond Meat or Impossible Foods [2]. The company's language focuses on advancing sustainable food production rather than destroying competitors. The business combination strategy of bringing together complementary capabilities suggests a collaborative rather than combative competitive mindset.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June 2025 business combination represented a significant strategic pivot, transforming Moolec from a pure-play molecular farming company into a broader platform spanning food ingredients, ag-biologicals, precision fermentation, biomaterials, and R&amp;D services [1]. This expansion shows willingness to evolve the business model, though it occurred early in the company's life when strategic direction is naturally more fluid. The company is too young to have faced a true existential flexibility test from a position of strength.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pursue molecular farming — a novel, unproven technology platform — rather than following the more conventional plant-based protein approaches (like Beyond Meat or Impossible Foods) demonstrates some courage in leadership direction [2]. The June 2025 business combination that brought together complementary capabilities across multiple platforms was a bold strategic bet. However, these are early-stage startup decisions rather than the kind of costly sacrifice Sinek's framework demands — the company has not yet faced the test of choosing long-term cause over short-term financial pressure from a position of profitability.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Moolec Science occupies a unique niche in molecular farming — producing real animal proteins directly in plant crops — a technology that could transform the alternative protein industry if successfully commercialized. The February 2026 safflower platform breakthrough, achieving one of the highest commercial-scale GLA concentrations from U.S. crushing, demonstrates advancing technical maturity [1]. The June 2025 business combination expanded capabilities across food ingredients, ag-biologicals, precision fermentation, and biomaterials, creating a diversified biotech platform with multiple paths to revenue [1]. The Inspire Insight score of 63 (ALIGNED) reflects strong ESG credentials across environmental metrics including GHG emissions, water conservation, and product sustainability.</w:t>
      </w:r>
    </w:p>
    <w:p>
      <w:pPr>
        <w:spacing w:after="120"/>
      </w:pPr>
      <w:r>
        <w:rPr>
          <w:rFonts w:ascii="Calibri" w:hAnsi="Calibri"/>
          <w:b w:val="0"/>
          <w:color w:val="3A4A28"/>
          <w:sz w:val="20"/>
        </w:rPr>
        <w:t>The bear case is severe. Moolec is pre-revenue with a market cap of only ~$5.9M, negative EPS of -$258.69 trailing and -$0.24 forward, and no clear timeline to commercial revenue generation [4]. The company faced Nasdaq delisting risk in 2025 for bid price non-compliance and delayed financial reporting, and its balance sheet shows negative equity and elevated debt [1]. Wall Street analysts forecast 2026 revenue of only ~$6.4M with continued losses of approximately -$178K, and the consensus revenue growth forecast of -26% dramatically underperforms the biotech industry average of 37% [1]. The AIGC controlling shareholder takeover (65% stake) and CEO transition create governance uncertainty. With ~$5.9M market cap and cash burn likely exceeding revenue, dilution risk is extreme. This is a speculative pre-revenue biotech where the technology, while scientifically interesting, faces years of commercialization risk before generating meaningful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commercial-scale safflower protein production demonstrated in February 2026 GLA crushing milestone, potentially unlocking first meaningful revenue streams from nutraceutical and food ingredient markets [1]</w:t>
      </w:r>
    </w:p>
    <w:p>
      <w:pPr>
        <w:spacing w:before="40" w:after="40"/>
        <w:ind w:left="283"/>
      </w:pPr>
      <w:r>
        <w:rPr>
          <w:rFonts w:ascii="Calibri" w:hAnsi="Calibri"/>
          <w:b/>
          <w:color w:val="4A6B25"/>
          <w:sz w:val="20"/>
        </w:rPr>
        <w:t xml:space="preserve">2. </w:t>
      </w:r>
      <w:r>
        <w:rPr>
          <w:rFonts w:ascii="Calibri" w:hAnsi="Calibri"/>
          <w:b w:val="0"/>
          <w:color w:val="3A4A28"/>
          <w:sz w:val="20"/>
        </w:rPr>
        <w:t>Expanded platform from June 2025 business combination across food ingredients, ag-biologicals, precision fermentation, and biomaterials provides multiple shots on goal for commercialization [1]</w:t>
      </w:r>
    </w:p>
    <w:p>
      <w:pPr>
        <w:spacing w:before="40" w:after="40"/>
        <w:ind w:left="283"/>
      </w:pPr>
      <w:r>
        <w:rPr>
          <w:rFonts w:ascii="Calibri" w:hAnsi="Calibri"/>
          <w:b/>
          <w:color w:val="4A6B25"/>
          <w:sz w:val="20"/>
        </w:rPr>
        <w:t xml:space="preserve">3. </w:t>
      </w:r>
      <w:r>
        <w:rPr>
          <w:rFonts w:ascii="Calibri" w:hAnsi="Calibri"/>
          <w:b w:val="0"/>
          <w:color w:val="3A4A28"/>
          <w:sz w:val="20"/>
        </w:rPr>
        <w:t>Growing global demand for sustainable alternative protein ingredients as consumer and regulatory pressure mounts on traditional animal agriculture, positioning molecular farming as a potentially disruptive production method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Severe financial distress — pre-revenue company with ~$5.9M market cap, negative earnings, Nasdaq delisting risk history, and likely need for significant additional capital raising that will dilute existing shareholders [1][4]</w:t>
      </w:r>
    </w:p>
    <w:p>
      <w:pPr>
        <w:spacing w:before="40" w:after="40"/>
        <w:ind w:left="283"/>
      </w:pPr>
      <w:r>
        <w:rPr>
          <w:rFonts w:ascii="Calibri" w:hAnsi="Calibri"/>
          <w:b/>
          <w:color w:val="4A6B25"/>
          <w:sz w:val="20"/>
        </w:rPr>
        <w:t xml:space="preserve">2. </w:t>
      </w:r>
      <w:r>
        <w:rPr>
          <w:rFonts w:ascii="Calibri" w:hAnsi="Calibri"/>
          <w:b w:val="0"/>
          <w:color w:val="3A4A28"/>
          <w:sz w:val="20"/>
        </w:rPr>
        <w:t>Commercialization risk — molecular farming technology has not yet been proven at commercial scale with paying customers; the gap between laboratory breakthroughs and profitable product sales remains wide [1]</w:t>
      </w:r>
    </w:p>
    <w:p>
      <w:pPr>
        <w:spacing w:before="40" w:after="40"/>
        <w:ind w:left="283"/>
      </w:pPr>
      <w:r>
        <w:rPr>
          <w:rFonts w:ascii="Calibri" w:hAnsi="Calibri"/>
          <w:b/>
          <w:color w:val="4A6B25"/>
          <w:sz w:val="20"/>
        </w:rPr>
        <w:t xml:space="preserve">3. </w:t>
      </w:r>
      <w:r>
        <w:rPr>
          <w:rFonts w:ascii="Calibri" w:hAnsi="Calibri"/>
          <w:b w:val="0"/>
          <w:color w:val="3A4A28"/>
          <w:sz w:val="20"/>
        </w:rPr>
        <w:t>Governance and control risk — AIGC's 65% controlling stake and the CEO transition from founder Paladini to Antalich create uncertainty about strategic direction and minority shareholder protections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Moolec's core business — molecular farming and precision fermentation to produce animal proteins in plants — is fundamentally a physical-world, biology-driven operation that AI cannot replicate or substitute [2]. Growing genetically modified crops, harvesting them, and extracting proteins requires agricultural land, greenhouses, processing facilities, and deep expertise in plant genetics and food science. There is no AI tool that can replace the physical production of proteins in safflower or soybean crops. The alternative protein space may benefit from AI-assisted protein design and crop optimization, but the core manufacturing process is immune to AI disruption. Regulatory requirements for novel food ingredients add further protection. AI Opportunity (0/1): No evidence that Moolec generates revenue from AI-related products or services. The company's technology platform is rooted in molecular biology and precision fermentation, not artificial intelligence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Moolec Science press releases — Nasdaq compliance notices, June 2025 business combination, February 2026 safflower GLA breakthrough, AIGC controlling shareholder; StockTitan, Yahoo Finance, TipRanks, 2025-2026</w:t>
      </w:r>
    </w:p>
    <w:p>
      <w:pPr>
        <w:spacing w:before="20" w:after="20"/>
        <w:ind w:left="170"/>
      </w:pPr>
      <w:r>
        <w:rPr>
          <w:rFonts w:ascii="Calibri" w:hAnsi="Calibri"/>
          <w:b/>
          <w:color w:val="4A6B25"/>
          <w:sz w:val="15"/>
        </w:rPr>
        <w:t xml:space="preserve">2. </w:t>
      </w:r>
      <w:r>
        <w:rPr>
          <w:rFonts w:ascii="Calibri" w:hAnsi="Calibri"/>
          <w:b w:val="0"/>
          <w:color w:val="3A4A28"/>
          <w:sz w:val="17"/>
        </w:rPr>
        <w:t>Moolec Science corporate website and company profiles — molecular farming technology, mission, leadership team, product platforms; moolecscience.com, Tracxn, CBInsights, PitchBook, 2025-2026</w:t>
      </w:r>
    </w:p>
    <w:p>
      <w:pPr>
        <w:spacing w:before="20" w:after="20"/>
        <w:ind w:left="170"/>
      </w:pPr>
      <w:r>
        <w:rPr>
          <w:rFonts w:ascii="Calibri" w:hAnsi="Calibri"/>
          <w:b/>
          <w:color w:val="4A6B25"/>
          <w:sz w:val="15"/>
        </w:rPr>
        <w:t xml:space="preserve">3. </w:t>
      </w:r>
      <w:r>
        <w:rPr>
          <w:rFonts w:ascii="Calibri" w:hAnsi="Calibri"/>
          <w:b w:val="0"/>
          <w:color w:val="3A4A28"/>
          <w:sz w:val="17"/>
        </w:rPr>
        <w:t>Inspire Insight ESG data — MLEC impact score 63 (ALIGNED) with positive attributions across environmental and sustainability metrics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MLEC (Moolec Science SA),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