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MNDY</w:t>
      </w:r>
      <w:r>
        <w:rPr>
          <w:rFonts w:ascii="Calibri" w:hAnsi="Calibri"/>
          <w:b/>
          <w:color w:val="1A2010"/>
          <w:sz w:val="40"/>
        </w:rPr>
        <w:t xml:space="preserve">  monday.com Ltd.</w:t>
      </w:r>
    </w:p>
    <w:p>
      <w:pPr>
        <w:spacing w:after="120"/>
      </w:pPr>
      <w:r>
        <w:rPr>
          <w:rFonts w:ascii="Calibri" w:hAnsi="Calibri"/>
          <w:b/>
          <w:color w:val="6E8450"/>
          <w:sz w:val="18"/>
        </w:rPr>
        <w:t>GROWTH SLEEVE · 2026-04-14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Israel</w:t>
      </w:r>
    </w:p>
    <w:p>
      <w:pPr>
        <w:spacing w:after="80"/>
      </w:pPr>
      <w:r>
        <w:rPr>
          <w:rFonts w:ascii="Calibri" w:hAnsi="Calibri"/>
          <w:b w:val="0"/>
          <w:color w:val="3A4A28"/>
          <w:sz w:val="20"/>
        </w:rPr>
        <w:t>monday.com Ltd. develops a cloud-based Work Operating System (Work OS) that allows organizations to build custom work management tools and software applications without code, serving customers globally across CRM, project management, dev, and service.</w:t>
      </w:r>
    </w:p>
    <w:p>
      <w:r>
        <w:rPr>
          <w:rFonts w:ascii="Calibri" w:hAnsi="Calibri"/>
          <w:b/>
          <w:color w:val="6E8450"/>
          <w:sz w:val="18"/>
        </w:rPr>
        <w:t>2,700 Employees · https://monday.com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Item 1: 3 points — monday.com has executed multiple successful platform-level pivots: from pure PM tool to full Work OS, then to monday sales CRM, monday dev, and monday service, each opening new revenue streams [1]. Item 2: 2 points — AI is shipping with quantified results: monday Vibe reached $1M ARR faster than any prior product, monday blocks surpassed 77M actions, and Sidekick processed over 500K user messages in 2025 [1]. Item 3: 1 point — meaningful player in collaborative work management with rapid share gains, but not yet category leader (Atlassian, Microsoft, Asana are comparable). Item 4: 2 points — specific pipeline visibility with monday Sidekick AI agent automating multi-step workflows, monday Vibe general availability, and 2026 revenue guidance of $1.452B-$1.462B (18-19% YoY) disclosed [1]. Item 5: 0 points — R&amp;D is high absolute but in-line with SaaS peers, not top 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 points — 'A Work OS where anyone can shape the workflows they want' is specific, differentiated, and has clearly guided the no-code platform design philosophy since founding [1]. Community impact: 1 point — monday.com for non-profits program provides free access to qualifying NGOs, modest but distinctive. Employee retention: 2 points — unique founder-led co-CEO model (Roy Mann and Eran Zinman co-founded 2012, still co-CEOs in 2026) creates exceptional leadership continuity and employees cite product-led culture as a reason to stay [1]. Insider buying: 1 point — neutral; founders hold large blocks and participate in routine selling, no distressed insider buying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calculated mechanically. D/E 13.5% (score 1.0) — essentially net cash balance sheet. ROE 10.4% (score 0.70). Revenue YoY 24.6% (score 1.0), 5yr CAGR ~40% (score 1.0). Forward P/E 12.6 (score 1.0) — compressed after recent selloff. Profit margin 9.6% GAAP (score 0.48) — non-GAAP operating margin is 14% [1]. Forward PEG estimated ~0.6 based on 18-19% guided growth (score 1.0). Liquidity: 2.45M vol x $63.55 = $156M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monday.com has a genuine product-led Just Cause around democratizing work management, founder co-CEOs with long-term horizons, and an impressive record of existential pivots for a 13-year-old company. It is young enough that infinite-game consistency cannot yet be fully 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weighted points — the Work OS vision (anyone can build workflows without code) is genuine, has shaped product decisions, but has not yet been tested through multiple leadership transitions or decade-scale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weighted point — founder co-CEO structure with rare sustained partnership suggests high internal trust, and tech-press coverage cites monday's Israel-based engineering culture as empowerment-focused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 weighted point — co-CEOs openly cite Asana, Atlassian, Smartsheet, and ClickUp as competitors whose pressure drives their product roadmap rather than framing competition as war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weighted point — evolved from single PM product to Work OS platform, then to suite of products (CRM, dev, service). Meaningful evolution but inside a single category.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weighted point — accepting lower 2026 growth guidance (18-19% vs 27% in 2025) to invest aggressively in AI products rather than defend near-term headline growth rate is a real courage signal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monday.com is a founder-led (Roy Mann and Eran Zinman) Work OS platform that delivered 27% revenue growth in 2025, guided 18-19% for 2026, and is shipping real AI products with customer traction — monday Vibe is the fastest $1M ARR product in company history [1]. The balance sheet is near-net-cash (D/E 13.5%) and non-GAAP operating margin is 14%. Forward P/E of 12.6 and forward PEG of ~0.6 make this the cheapest mid-growth SaaS name in the collaborative work management category [1]. Faith alignment is strongly positive (+63).</w:t>
      </w:r>
    </w:p>
    <w:p>
      <w:pPr>
        <w:spacing w:after="120"/>
      </w:pPr>
      <w:r>
        <w:rPr>
          <w:rFonts w:ascii="Calibri" w:hAnsi="Calibri"/>
          <w:b w:val="0"/>
          <w:color w:val="3A4A28"/>
          <w:sz w:val="20"/>
        </w:rPr>
        <w:t>The bear case is structural: the SaaS paradox. AI agents may subsume traditional seat-based work management SaaS, and the 2026 guidance reset from 27% to 18% growth is the first data point in a possible deceleration trend [1]. Competition from Atlassian, Microsoft (which embeds Copilot everywhere), Asana, Smartsheet, and ClickUp is intensifying as they all layer AI. monday.com must demonstrate that customers use monday to orchestrate AI rather than replace monday with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monday Sidekick and monday Vibe driving net-revenue-retention re-acceleration in H2 2026 [1]</w:t>
      </w:r>
    </w:p>
    <w:p>
      <w:pPr>
        <w:spacing w:before="40" w:after="40"/>
        <w:ind w:left="283"/>
      </w:pPr>
      <w:r>
        <w:rPr>
          <w:rFonts w:ascii="Calibri" w:hAnsi="Calibri"/>
          <w:b/>
          <w:color w:val="4A6B25"/>
          <w:sz w:val="20"/>
        </w:rPr>
        <w:t xml:space="preserve">2. </w:t>
      </w:r>
      <w:r>
        <w:rPr>
          <w:rFonts w:ascii="Calibri" w:hAnsi="Calibri"/>
          <w:b w:val="0"/>
          <w:color w:val="3A4A28"/>
          <w:sz w:val="20"/>
        </w:rPr>
        <w:t>Enterprise traction continuing — $100K+ ARR customer count growing 40%+ YoY</w:t>
      </w:r>
    </w:p>
    <w:p>
      <w:pPr>
        <w:spacing w:before="40" w:after="40"/>
        <w:ind w:left="283"/>
      </w:pPr>
      <w:r>
        <w:rPr>
          <w:rFonts w:ascii="Calibri" w:hAnsi="Calibri"/>
          <w:b/>
          <w:color w:val="4A6B25"/>
          <w:sz w:val="20"/>
        </w:rPr>
        <w:t xml:space="preserve">3. </w:t>
      </w:r>
      <w:r>
        <w:rPr>
          <w:rFonts w:ascii="Calibri" w:hAnsi="Calibri"/>
          <w:b w:val="0"/>
          <w:color w:val="3A4A28"/>
          <w:sz w:val="20"/>
        </w:rPr>
        <w:t>Forward PEG of ~0.6 is attractive if growth re-accelerates toward high 20s on AI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growth deceleration below 18% guide signaling AI-driven SaaS substitution thesis is real</w:t>
      </w:r>
    </w:p>
    <w:p>
      <w:pPr>
        <w:spacing w:before="40" w:after="40"/>
        <w:ind w:left="283"/>
      </w:pPr>
      <w:r>
        <w:rPr>
          <w:rFonts w:ascii="Calibri" w:hAnsi="Calibri"/>
          <w:b/>
          <w:color w:val="4A6B25"/>
          <w:sz w:val="20"/>
        </w:rPr>
        <w:t xml:space="preserve">2. </w:t>
      </w:r>
      <w:r>
        <w:rPr>
          <w:rFonts w:ascii="Calibri" w:hAnsi="Calibri"/>
          <w:b w:val="0"/>
          <w:color w:val="3A4A28"/>
          <w:sz w:val="20"/>
        </w:rPr>
        <w:t>Microsoft Copilot-embedded work management capturing enterprise budget from standalone tools</w:t>
      </w:r>
    </w:p>
    <w:p>
      <w:pPr>
        <w:spacing w:before="40" w:after="40"/>
        <w:ind w:left="283"/>
      </w:pPr>
      <w:r>
        <w:rPr>
          <w:rFonts w:ascii="Calibri" w:hAnsi="Calibri"/>
          <w:b/>
          <w:color w:val="4A6B25"/>
          <w:sz w:val="20"/>
        </w:rPr>
        <w:t xml:space="preserve">3. </w:t>
      </w:r>
      <w:r>
        <w:rPr>
          <w:rFonts w:ascii="Calibri" w:hAnsi="Calibri"/>
          <w:b w:val="0"/>
          <w:color w:val="3A4A28"/>
          <w:sz w:val="20"/>
        </w:rPr>
        <w:t>Israel-based operations facing geopolitical disruption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monday.com sits at the center of the 'SaaS paradox' debate: AI agents could either subsume traditional work management SaaS or expand its addressable market [1]. Analysts have explicitly warned about the 'deceleration narrative' and 'AI agent revolution' threatening SaaS seat-based pricing models, which drove the recent 30%+ rally after Q4 but also the 2026 guidance reset [1]. monday.com has responded aggressively with monday Sidekick (multi-step AI workflow automation) and monday Vibe (AI app builder), but the outcome is genuinely uncertain — customers could use AI to replace monday, or they could use monday to orchestrate AI. AI Risk Protection: 4 points (EXPOSED, but the company is adapting fastest in its peer group). AI Opportunity: 1 point — monday Vibe at $1M+ ARR fastest ramp in company history is meaningful quantified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monday.com Q4 2025 Earnings Call Transcript, February 2026 (Motley Fool / Investor Relations)</w:t>
      </w:r>
    </w:p>
    <w:p>
      <w:pPr>
        <w:spacing w:before="20" w:after="20"/>
        <w:ind w:left="170"/>
      </w:pPr>
      <w:r>
        <w:rPr>
          <w:rFonts w:ascii="Calibri" w:hAnsi="Calibri"/>
          <w:b/>
          <w:color w:val="4A6B25"/>
          <w:sz w:val="15"/>
        </w:rPr>
        <w:t xml:space="preserve">2. </w:t>
      </w:r>
      <w:r>
        <w:rPr>
          <w:rFonts w:ascii="Calibri" w:hAnsi="Calibri"/>
          <w:b w:val="0"/>
          <w:color w:val="3A4A28"/>
          <w:sz w:val="17"/>
        </w:rPr>
        <w:t>FinancialContent — 'monday.com Deep Dive: Navigating the 2026 Guidance Reset and the Rise of AI-Driven Work OS',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MNDY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