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MNKD</w:t>
      </w:r>
      <w:r>
        <w:rPr>
          <w:rFonts w:ascii="Calibri" w:hAnsi="Calibri"/>
          <w:b/>
          <w:color w:val="1A2010"/>
          <w:sz w:val="40"/>
        </w:rPr>
        <w:t xml:space="preserve">  MannKind Corporation</w:t>
      </w:r>
    </w:p>
    <w:p>
      <w:pPr>
        <w:spacing w:after="120"/>
      </w:pPr>
      <w:r>
        <w:rPr>
          <w:rFonts w:ascii="Calibri" w:hAnsi="Calibri"/>
          <w:b/>
          <w:color w:val="6E8450"/>
          <w:sz w:val="18"/>
        </w:rPr>
        <w:t>GROWTH SLEEVE · 2026-03-31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MannKind is a biopharmaceutical company focused on inhaled therapeutic products for chronic diseases including diabetes, pulmonary hypertension, and fluid overload in heart failure. Its proprietary Technosphere inhalation technology delivers drugs deep into the lungs with up to 70% efficiency. Key products include Afrezza (inhaled insulin), Tyvaso DPI (pulmonary hypertension, partnered with United Therapeutics), and FUROSCIX (subcutaneous furosemide for heart failure/CKD).</w:t>
      </w:r>
    </w:p>
    <w:p>
      <w:r>
        <w:rPr>
          <w:rFonts w:ascii="Calibri" w:hAnsi="Calibri"/>
          <w:b/>
          <w:color w:val="6E8450"/>
          <w:sz w:val="18"/>
        </w:rPr>
        <w:t>591 Employees · https://mannkindcorp.com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MannKind successfully launched two major products in recent years — Tyvaso DPI grew from a $450 million brand to a billion-dollar franchise within 36 months of launch, and FUROSCIX revenue grew 93% YoY with Q4 2025 sales of $23 million [1]. Afrezza net sales grew 16% to $75 million including an initial India launch with Cipla [1]. AI Deployment (0/2): No AI-powered products or quantified AI-driven cost savings were identified. The hire of Dominic Marasco (former AI business unit leader) brings AI expertise to leadership but no measurable AI impact yet [2]. Market Share (1/2): MannKind occupies a unique niche in inhaled therapeutics with its proprietary Technosphere technology delivering up to 70% of dry-powder dose deep into lungs, but overall market share in diabetes and pulmonary hypertension remains small relative to major pharma competitors [2]. Pipeline (2/2): Two FDA PDUFA dates in 2026 — Afrezza pediatric (May 29) and Furoscix ReadyFlow auto-injector (July 26) — plus Nintedanib DPI Phase 1b topline data expected H2 2026 [1]. R&amp;D Intensity (1/1): As a biotech, MannKind invests heavily in R&amp;D relative to revenue, with multiple clinical programs and drug-device combination development ongoing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MannKind's 'Life more humann' mission is specific and thoughtful — rooted in founder Alfred E. Mann's nearly 60-year legacy of founding 17 companies devoted to innovative medical products [2]. The mission connects drug delivery directly to reducing the daily burden of chronic disease, and CEO Castagna's shift of Afrezza from 'managing for profitability' to a 'growth mindset' for pediatric patients reflects living the mission [1]. Community Impact (1/2): The company serves genuinely underserved patient populations — children with diabetes lacking non-injectable insulin options, pulmonary hypertension patients needing portable treatment, and heart failure patients requiring at-home diuretic therapy [2]. However, no specific charitable programs or community investment dollar amounts were identified. Employee Retention (0/2): No employee retention data, turnover rates, or tenure information available for this 591-person company. Insider Buying (0/2): No publicly reported insider buying activity was identified in recent periods.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MannKind's financial profile shows a company transitioning to sustainable profitability. Revenue grew 46% YoY in Q4 2025 to $112 million and 22% for FY2025 to $349 million, with management projecting over $450 million in 2026 [1]. Gross margins are strong at 74.8%, and the company achieved its first full-year GAAP net income of $5.9 million (non-GAAP adjusted net income of $59.5 million) [1]. Forward P/E of 10.4× is attractive for a biotech with 45% revenue growth and two near-term PDUFA catalysts. Free cash flow turned positive at $35.6 million [1]. The balance sheet carries $470 million in debt against $171 million cash, but D/E and ROE data are unavailable due to negative book value from accumulated deficits — typical for biotechs that spent years in pre-revenue development. The company anticipates $700 million to $1 billion in cumulative cash flow from Tyvaso royalties over several years [1]. Liquidity floor cleared: 5.8M avg volume × $2.37 = $13.7M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MannKind demonstrates meaningful infinite game qualities rooted in founder Alfred Mann's 60-year legacy of building medical device companies. The company persevered through nearly two decades of losses to bring Afrezza and Tyvaso DPI to market, and CEO Castagna's decision to shift from profit optimization to growth investment for pediatric patients reflects cause-driven leadership. However, the company's small scale, dependence on a single technology platform, and commercial execution challenges keep it from fully infinite status.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MannKind's 'Life more humann' cause is genuinely connected to reducing the daily burden of chronic disease — children who fear needles could access inhaled insulin, pulmonary hypertension patients gain portable treatment, heart failure patients avoid hospital visits [2]. The cause is rooted in founder Alfred Mann's nearly 60 years of founding 17 medical companies, and CEO Castagna's pivot from managing Afrezza 'for profitability' to a 'growth mindset' ahead of the pediatric PDUFA shows the cause influencing real decisions [1]. However, the cause has not yet been tested through a major crisis or leadership transition beyond the founder's passing.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Castagna has provided stable leadership for 8+ years, guiding the company from pre-profitability through the Tyvaso DPI launch to first full-year GAAP income [1]. Recent strategic hires — Dominic Marasco as Endocrine Business Unit President and Dr. Ajay Ahuja as CMO — suggest a leadership team being built with intention [2]. The 591-person organization is small enough for cohesion, but no specific employee satisfaction data, turnover rates, or cultural evidence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MannKind's partnership with United Therapeutics for Tyvaso DPI demonstrates willingness to collaborate with a larger player rather than attempting to go it alone in pulmonary hypertension [1]. When United Therapeutics introduced a competing soft mist inhaler, MannKind acknowledged the competitive dynamic while emphasizing its own technology's advantages — a response focused on self-improvement rather than rival destruction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MannKind evolved from a single-product Afrezza company into a multi-product platform by leveraging its core Technosphere inhalation technology across new therapeutic areas — pulmonary hypertension (Tyvaso DPI), heart failure (FUROSCIX), and orphan lung diseases (nintedanib DPI pipeline) [2]. This represents meaningful but incremental flexibility built on the same technology foundation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MannKind demonstrated courage by persevering through years of losses and market skepticism to bring Afrezza and Tyvaso DPI to market when many analysts expected the company to fail [1]. CEO Castagna's 2026 decision to shift Afrezza from 'managing for profitability' to a 'growth mindset' ahead of the pediatric PDUFA date represents choosing long-term market expansion over near-term earnings optimization [1]. However, the company's small scale limits the magnitude of courageous bets available.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MannKind is a rapidly growing biotech with record Q4 2025 revenue of $112 million (+46% YoY) and FY2025 revenue of $349 million, achieving its first full-year GAAP net income of $5.9 million after years of losses [1]. The company targets over $450 million in 2026 revenue driven by three product platforms: Tyvaso DPI royalties ($128 million in FY2025, +25% YoY), FUROSCIX ($23 million Q4 sales, +93% YoY brand growth), and Afrezza ($75 million FY2025, pivoting from profitability management to growth ahead of pediatric expansion) [1]. At 10.4× forward P/E, the stock is attractively valued for a biotech with 45% revenue growth, 74.8% gross margins, and two PDUFA catalysts in 2026 (Afrezza pediatric May 29, Furoscix ReadyFlow July 26) [1]. The Technosphere inhalation platform enables expansion into orphan lung diseases with Nintedanib DPI Phase 1b data expected H2 2026, and Tyvaso is projected to generate $700 million to $1 billion in cumulative cash flow over several years [1].</w:t>
      </w:r>
    </w:p>
    <w:p>
      <w:pPr>
        <w:spacing w:after="120"/>
      </w:pPr>
      <w:r>
        <w:rPr>
          <w:rFonts w:ascii="Calibri" w:hAnsi="Calibri"/>
          <w:b w:val="0"/>
          <w:color w:val="3A4A28"/>
          <w:sz w:val="20"/>
        </w:rPr>
        <w:t>The bear case centers on product concentration risk and competitive threats. Tyvaso DPI royalties represent the largest revenue driver, but partner United Therapeutics recently introduced a competing soft mist inhaler that could cannibalize DPI market share and reduce MannKind's royalty stream — the company earns only a net 9% royalty after a prior sale transaction [1]. The stock has declined 44% from its 50-day SMA of $4.25 to $2.37, reflecting investor concern about Tyvaso competition. The discontinued Phase 3 ICoN-1 trial of clofazimine for NTM lung disease represents a material pipeline setback and wasted R&amp;D investment [3]. MannKind's $470 million in debt against $171 million cash creates balance sheet pressure, and while free cash flow turned positive at $35.6 million, this is thin margin for error. At $2.37 per share and $730 million market cap, the stock is a micro-cap with limited institutional interest. Afrezza has been a perennial underperformer despite clinical advantages, growing only 16% in FY2025 — the pediatric approval is critical but not guaranteed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Afrezza pediatric FDA PDUFA date on May 29, 2026 — approval would open a large unmet need in Type 1 diabetes children who fear needle injections, supported by updated ADA guidelines positioning inhaled insulin as 'equivalent' to injectable options [1]</w:t>
      </w:r>
    </w:p>
    <w:p>
      <w:pPr>
        <w:spacing w:before="40" w:after="40"/>
        <w:ind w:left="283"/>
      </w:pPr>
      <w:r>
        <w:rPr>
          <w:rFonts w:ascii="Calibri" w:hAnsi="Calibri"/>
          <w:b/>
          <w:color w:val="4A6B25"/>
          <w:sz w:val="20"/>
        </w:rPr>
        <w:t xml:space="preserve">2. </w:t>
      </w:r>
      <w:r>
        <w:rPr>
          <w:rFonts w:ascii="Calibri" w:hAnsi="Calibri"/>
          <w:b w:val="0"/>
          <w:color w:val="3A4A28"/>
          <w:sz w:val="20"/>
        </w:rPr>
        <w:t>Furoscix ReadyFlow auto-injector FDA PDUFA date on July 26, 2026 — would enable patient self-administration at home, expanding the addressable market beyond hospital/clinic settings [1]</w:t>
      </w:r>
    </w:p>
    <w:p>
      <w:pPr>
        <w:spacing w:before="40" w:after="40"/>
        <w:ind w:left="283"/>
      </w:pPr>
      <w:r>
        <w:rPr>
          <w:rFonts w:ascii="Calibri" w:hAnsi="Calibri"/>
          <w:b/>
          <w:color w:val="4A6B25"/>
          <w:sz w:val="20"/>
        </w:rPr>
        <w:t xml:space="preserve">3. </w:t>
      </w:r>
      <w:r>
        <w:rPr>
          <w:rFonts w:ascii="Calibri" w:hAnsi="Calibri"/>
          <w:b w:val="0"/>
          <w:color w:val="3A4A28"/>
          <w:sz w:val="20"/>
        </w:rPr>
        <w:t>Revenue inflection toward $450M+ in 2026 with continued FUROSCIX scaling (93% YoY brand growth), Afrezza growth pivot, and stable Tyvaso DPI royalties providing a diversifying revenue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Tyvaso DPI royalty erosion — United Therapeutics' new soft mist inhaler could cannibalize DPI market share, threatening MannKind's largest revenue stream (net 9% royalty on what was a billion-dollar franchise) [1]</w:t>
      </w:r>
    </w:p>
    <w:p>
      <w:pPr>
        <w:spacing w:before="40" w:after="40"/>
        <w:ind w:left="283"/>
      </w:pPr>
      <w:r>
        <w:rPr>
          <w:rFonts w:ascii="Calibri" w:hAnsi="Calibri"/>
          <w:b/>
          <w:color w:val="4A6B25"/>
          <w:sz w:val="20"/>
        </w:rPr>
        <w:t xml:space="preserve">2. </w:t>
      </w:r>
      <w:r>
        <w:rPr>
          <w:rFonts w:ascii="Calibri" w:hAnsi="Calibri"/>
          <w:b w:val="0"/>
          <w:color w:val="3A4A28"/>
          <w:sz w:val="20"/>
        </w:rPr>
        <w:t>Pipeline setback risk — the discontinued Phase 3 clofazimine trial for NTM demonstrates clinical development uncertainty; Nintedanib DPI and pediatric Afrezza approvals are not guaranteed [3]</w:t>
      </w:r>
    </w:p>
    <w:p>
      <w:pPr>
        <w:spacing w:before="40" w:after="40"/>
        <w:ind w:left="283"/>
      </w:pPr>
      <w:r>
        <w:rPr>
          <w:rFonts w:ascii="Calibri" w:hAnsi="Calibri"/>
          <w:b/>
          <w:color w:val="4A6B25"/>
          <w:sz w:val="20"/>
        </w:rPr>
        <w:t xml:space="preserve">3. </w:t>
      </w:r>
      <w:r>
        <w:rPr>
          <w:rFonts w:ascii="Calibri" w:hAnsi="Calibri"/>
          <w:b w:val="0"/>
          <w:color w:val="3A4A28"/>
          <w:sz w:val="20"/>
        </w:rPr>
        <w:t>Micro-cap balance sheet fragility — $470M debt vs $171M cash with only $35.6M positive free cash flow leaves minimal margin for error if any product disappoints or a PDUFA date results in a complete response letter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MannKind's business is structurally immune to AI disruption. The company manufactures physical drug-device combinations (inhaled insulin, dry-powder inhalers) that require FDA-regulated clinical trials, GMP manufacturing, and complex supply chains that AI cannot replace [2]. Proprietary Technosphere inhalation technology involves physical chemistry and device engineering with deep patent protection. The pharma regulatory moat — years-long approval processes, clinical trial requirements, and manufacturing inspections — creates barriers no AI system can circumvent. AI may modestly accelerate drug discovery timelines for pipeline candidates like MNKD-201, but the core commercial products face zero substitution risk. AI Opportunity (0/1): MannKind does not generate revenue from AI-related products or services. The recent hire of an executive with AI business unit experience may signal future operational AI adoption but no quantifiable impact exists today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MannKind Q4 &amp; FY2025 Earnings Release — $112M Q4 revenue, $349M FY2025 revenue, first full-year GAAP profit, February 2026</w:t>
      </w:r>
    </w:p>
    <w:p>
      <w:pPr>
        <w:spacing w:before="20" w:after="20"/>
        <w:ind w:left="170"/>
      </w:pPr>
      <w:r>
        <w:rPr>
          <w:rFonts w:ascii="Calibri" w:hAnsi="Calibri"/>
          <w:b/>
          <w:color w:val="4A6B25"/>
          <w:sz w:val="15"/>
        </w:rPr>
        <w:t xml:space="preserve">2. </w:t>
      </w:r>
      <w:r>
        <w:rPr>
          <w:rFonts w:ascii="Calibri" w:hAnsi="Calibri"/>
          <w:b w:val="0"/>
          <w:color w:val="3A4A28"/>
          <w:sz w:val="17"/>
        </w:rPr>
        <w:t>MannKind Corporate Website, Pipeline Page, Leadership Announcements — Technosphere technology, executive hires, mission,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Simply Wall St, Investing.com — MNKD financial analysis, Tyvaso competition risk, ICoN-1 trial discontinuation,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