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MNST</w:t>
      </w:r>
      <w:r>
        <w:rPr>
          <w:rFonts w:ascii="Calibri" w:hAnsi="Calibri"/>
          <w:b/>
          <w:color w:val="1A2010"/>
          <w:sz w:val="40"/>
        </w:rPr>
        <w:t xml:space="preserve">  Monster Beverage Corporation</w:t>
      </w:r>
    </w:p>
    <w:p>
      <w:pPr>
        <w:spacing w:after="120"/>
      </w:pPr>
      <w:r>
        <w:rPr>
          <w:rFonts w:ascii="Calibri" w:hAnsi="Calibri"/>
          <w:b/>
          <w:color w:val="6E8450"/>
          <w:sz w:val="18"/>
        </w:rPr>
        <w:t>GROWTH SLEEVE · 2026-03-30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Monster Beverage is the world's leading energy drink company by market share, operating an asset-light model with outsourced manufacturing and distribution through the global Coca-Cola bottling system (Coca-Cola holds a 19.5% stake). Key brands include Monster Energy, Reign, Bang, and emerging alcohol brands.</w:t>
      </w:r>
    </w:p>
    <w:p>
      <w:r>
        <w:rPr>
          <w:rFonts w:ascii="Calibri" w:hAnsi="Calibri"/>
          <w:b/>
          <w:color w:val="6E8450"/>
          <w:sz w:val="18"/>
        </w:rPr>
        <w:t>5,773 Employees · https://www.monsterbevcorp.com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Monster delivered its first-ever $2B+ quarter in Q4 2025 ($2.13B, +17.6% YoY) and expanded international revenue to 42% of sales, up from 39% a year earlier [1]. The company successfully integrated the Bang Energy acquisition and launched new product lines across energy, alcohol, and coffee categories. AI Deployment (0/2): No AI products shipping to customers and no quantified AI-driven cost savings reported; AI use is limited to internal analytics for demand forecasting and flavor optimization [2]. Market Share (2/2): Monster is the global #1 energy drink brand by market share, and the Coca-Cola distribution partnership provides unmatched shelf placement and global reach [1][2]. Pipeline (1/2): Management indicated a 'strong innovation pipeline' for 2026 with new flavor launches, though specific product timelines were not detailed [1]. R&amp;D Intensity (1/1): Monster invests heavily in brand development, flavor R&amp;D, and market expansion relative to its asset-light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Monster's stated purpose centers on unleashing the beast within — a lifestyle-driven brand identity that resonates with its target demographic but lacks depth beyond brand positioning. It identifies what the company does (energy/excitement) but doesn't articulate a deeper societal purpose [2]. Community Impact (1/2): Monster supports extreme sports athletes, music events, and gaming communities through sponsorships, creating cultural relevance, but these are brand marketing investments rather than distinctive charitable programs [2]. Employee Retention (2/2): Glassdoor rating of 3.9/5 with 75% recommending the company, 89% CEO approval under Sacks, and a 4.0 culture rating are strong for the beverage industry; Monster Energy University provides structured development [2]. Insider Buying (1/2): Mixed insider activity — CEO Schlosberg and Sacks received large stock grants (270K shares each, March 2026), but CFO Kelly sold $618K in stock on the same day, indicating roughly neutral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Monster's financial profile is exceptional for a consumer staples company. D/E of just 0.8% reflects the asset-light model with virtually no debt — manufacturing and distribution are outsourced to Coca-Cola's bottling system [1][4]. ROE of 26.8% and profit margin of 23.0% demonstrate the pricing power and operating leverage of the energy drink category. Revenue growth of 17.6% YoY to $8.29B with gross margins of 55.5% shows the brand can raise prices with 'limited volume sensitivity' per CEO Schlosberg [1]. Forward P/E of 28.0x is elevated but supported by 20%+ EPS growth expectations. Revenue 5yr CAGR of 9.5% from $6.3B (2022) to $8.3B (2025) reflects consistent organic growth supplemented by acquisition [1]. Liquidity floor easily cleared: 6.1M avg vol x $71.32 = $434M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Monster Beverage demonstrates strong infinite game characteristics through its 30+ year commitment to energy drink category dominance and the Sacks/Schlosberg leadership continuity since 1990. The asset-light model and Coca-Cola partnership create structural advantages designed for long-term play. However, the company's identity is closely tied to winning market share rather than a deeper Just Cause, and the recent leadership transition from co-founder Sacks introduces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Monster's cause of fueling human performance and energy through accessible, exciting products has been consistently pursued since the Monster Energy launch in 2002, with the brand identity serving as a genuine competitive advantage (2/3 points) [2]. The company's 30+ year commitment to the energy category under consistent leadership shows purpose-driven strategy. However, the cause is tied more to brand lifestyle than to a transcendent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environment demonstrated by exceptional leadership continuity — Sacks led Monster from 1990 to 2025, and Schlosberg served as President/COO/CFO since 1990 before becoming CEO in 2025 (2/2 points) [2]. Glassdoor 3.9/5 rating with 89% CEO approval and 4.0 culture score are strong. Monster Energy University and the gamified learning platform show investment in employee development. The lean team of 5,773 employees managing an $8.3B revenue business indicates high-output, high-trust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Monster explicitly acknowledges Red Bull's brand strength and Celsius's rapid growth as competitive motivators, using rivalry to drive product innovation and international expansion rather than price wars (1/1 point) [2]. The Coca-Cola partnership itself was born from recognizing a worthy rival's distribution advantage and turning competition into collaboration.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Monster transformed from Hansen's Natural Corporation (a juice and soda company) into the world's #1 energy drink brand — a genuine business model reinvention. More recently, the company entered alcohol beverages (The Beast Unleashed) and acquired Bang Energy, showing willingness to expand beyond the core [1]. However, these are category adjacencies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Monster raised prices in November 2025 despite competitive pressure, with CEO Schlosberg confirming 'limited volume sensitivity' — showing conviction to prioritize margin over volume [1]. The Bang Energy acquisition at a discounted price during its bankruptcy demonstrated opportunistic courage. However, the slow adoption of climate targets and ESG commitments suggests reluctance to make costly long-term investments that don't directly drive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Monster Beverage is the global #1 energy drink brand operating a near-perfect asset-light model — 0.8% D/E, 26.8% ROE, 23% profit margin, and 55.5% gross margins through outsourced manufacturing via Coca-Cola's bottling system [1][4]. Q4 2025 delivered a record $2.13B in net sales (+17.6% YoY) with international revenue reaching 42% of total sales and accelerating at 26.9% growth [1]. The November price increase produced 'limited volume sensitivity,' confirming pricing power that supports margin expansion. At 28x forward earnings with analysts projecting ~20% EPS growth for 2026, MNST is reasonably valued for a category-dominant consumer franchise with structural competitive advantages and zero debt.</w:t>
      </w:r>
    </w:p>
    <w:p>
      <w:pPr>
        <w:spacing w:after="120"/>
      </w:pPr>
      <w:r>
        <w:rPr>
          <w:rFonts w:ascii="Calibri" w:hAnsi="Calibri"/>
          <w:b w:val="0"/>
          <w:color w:val="3A4A28"/>
          <w:sz w:val="20"/>
        </w:rPr>
        <w:t>The bear case centers on valuation and growth sustainability. At 37x trailing earnings, Monster is priced for perfection — any growth deceleration or margin miss could trigger multiple compression. Higher aluminum costs and premiums in H1 2026 may pressure gross margins despite the price increase [1]. The Alcohol Brands segment remains a drag, with management not yet proving the category expansion thesis. Coca-Cola's 19.5% stake creates alignment but also dependency risk — changes in the distribution relationship could be catastrophic. Regulatory risks around caffeine content, ingredient bans, and beverage taxes could constrain the category's growth trajectory. New entrants like Celsius have demonstrated that AI-powered marketing and social media can erode incumbent advantages, and Monster's relatively slow technology adoption may become a liability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acceleration — 42% of sales growing at 26.9% YoY with significant whitespace in emerging markets through Coca-Cola's global distribution [1]</w:t>
      </w:r>
    </w:p>
    <w:p>
      <w:pPr>
        <w:spacing w:before="40" w:after="40"/>
        <w:ind w:left="283"/>
      </w:pPr>
      <w:r>
        <w:rPr>
          <w:rFonts w:ascii="Calibri" w:hAnsi="Calibri"/>
          <w:b/>
          <w:color w:val="4A6B25"/>
          <w:sz w:val="20"/>
        </w:rPr>
        <w:t xml:space="preserve">2. </w:t>
      </w:r>
      <w:r>
        <w:rPr>
          <w:rFonts w:ascii="Calibri" w:hAnsi="Calibri"/>
          <w:b w:val="0"/>
          <w:color w:val="3A4A28"/>
          <w:sz w:val="20"/>
        </w:rPr>
        <w:t>Pricing power validation — November 2025 price increase showing 'limited volume sensitivity,' supporting margin expansion into FY2026 [1]</w:t>
      </w:r>
    </w:p>
    <w:p>
      <w:pPr>
        <w:spacing w:before="40" w:after="40"/>
        <w:ind w:left="283"/>
      </w:pPr>
      <w:r>
        <w:rPr>
          <w:rFonts w:ascii="Calibri" w:hAnsi="Calibri"/>
          <w:b/>
          <w:color w:val="4A6B25"/>
          <w:sz w:val="20"/>
        </w:rPr>
        <w:t xml:space="preserve">3. </w:t>
      </w:r>
      <w:r>
        <w:rPr>
          <w:rFonts w:ascii="Calibri" w:hAnsi="Calibri"/>
          <w:b w:val="0"/>
          <w:color w:val="3A4A28"/>
          <w:sz w:val="20"/>
        </w:rPr>
        <w:t>Innovation pipeline including new flavor launches, category expansion, and potential AI-driven consumer insights driving share gains against Red Bull and Celsius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Aluminum cost inflation — higher aluminum prices and premiums expected to pressure gross margins in H1 2026, potentially offsetting pricing gains [1]</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risk — at 37x trailing P/E, any growth deceleration below 15%+ expectations could trigger significant multiple contraction [4]</w:t>
      </w:r>
    </w:p>
    <w:p>
      <w:pPr>
        <w:spacing w:before="40" w:after="40"/>
        <w:ind w:left="283"/>
      </w:pPr>
      <w:r>
        <w:rPr>
          <w:rFonts w:ascii="Calibri" w:hAnsi="Calibri"/>
          <w:b/>
          <w:color w:val="4A6B25"/>
          <w:sz w:val="20"/>
        </w:rPr>
        <w:t xml:space="preserve">3. </w:t>
      </w:r>
      <w:r>
        <w:rPr>
          <w:rFonts w:ascii="Calibri" w:hAnsi="Calibri"/>
          <w:b w:val="0"/>
          <w:color w:val="3A4A28"/>
          <w:sz w:val="20"/>
        </w:rPr>
        <w:t>Regulatory and health scrutiny — increasing government attention to caffeine limits, beverage taxes, and marketing-to-minors restrictions could constrain category growth globally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Monster's core business — selling physical energy drinks through retail and convenience stores — is inherently resistant to AI disruption; consumers need a physical product for energy and AI cannot substitute a beverage [2]. The Coca-Cola bottling distribution network creates infrastructure moats that digital-only competitors cannot replicate. However, AI lowers barriers for new beverage brands to reach consumers through social media marketing and direct-to-consumer channels, potentially chipping away at Monster's marketing advantage over time [3]. The premium valuation depends on brand loyalty that could be challenged by AI-optimized competitors. AI Opportunity (1/1): Monster uses AI for demand forecasting, flavor optimization through consumer data analysis, and sentiment monitoring for trend detection, generating measurable operational efficiency though not direct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Monster Beverage Q4 2025 and FY2025 Earnings Release — $2.13B Q4 revenue (+17.6%), $8.29B FY revenue, record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Monster Beverage CEO/leadership profiles, Glassdoor reviews (3.9/5, 89% CEO approval), AI strategy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Monster Beverage ESG profile — Sustainalytics 'Average' rating, As You Sow climate resolution, diversity lawsuit history,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MNST (Monster Beverage),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