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MOS</w:t>
      </w:r>
      <w:r>
        <w:rPr>
          <w:rFonts w:ascii="Calibri" w:hAnsi="Calibri"/>
          <w:b/>
          <w:color w:val="1A2010"/>
          <w:sz w:val="40"/>
        </w:rPr>
        <w:t xml:space="preserve">  The Mosaic Company</w:t>
      </w:r>
    </w:p>
    <w:p>
      <w:pPr>
        <w:spacing w:after="120"/>
      </w:pPr>
      <w:r>
        <w:rPr>
          <w:rFonts w:ascii="Calibri" w:hAnsi="Calibri"/>
          <w:b/>
          <w:color w:val="6E8450"/>
          <w:sz w:val="18"/>
        </w:rPr>
        <w:t>DIVIDEND SLEEVE · 2026-03-27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Agricultural Inputs · NYSE · United States</w:t>
      </w:r>
    </w:p>
    <w:p>
      <w:pPr>
        <w:spacing w:after="80"/>
      </w:pPr>
      <w:r>
        <w:rPr>
          <w:rFonts w:ascii="Calibri" w:hAnsi="Calibri"/>
          <w:b w:val="0"/>
          <w:color w:val="3A4A28"/>
          <w:sz w:val="20"/>
        </w:rPr>
        <w:t>The Mosaic Company produces and markets concentrated phosphate and potash crop nutrients through three segments: Phosphates, Potash, and Mosaic Fertilizantes. The company operates mines and processing facilities in the U.S., Brazil, and Canada, serving global agricultural markets.</w:t>
      </w:r>
    </w:p>
    <w:p>
      <w:r>
        <w:rPr>
          <w:rFonts w:ascii="Calibri" w:hAnsi="Calibri"/>
          <w:b/>
          <w:color w:val="6E8450"/>
          <w:sz w:val="18"/>
        </w:rPr>
        <w:t>13,249 Employees · https://www.mosaicco.com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Mosaic Biosciences doubled net sales to $68M in 2025 with 40%+ gross margins, launching five new products across 16 countries and planning 8-10 launches in 2026 [1]. The company achieved its $150M cost savings target ahead of schedule and is pursuing an additional $100M in 2026. However, the core fertilizer business is a commodity operation with limited product differentiation, and Q4 phosphate demand in the U.S. was down approximately 20% YoY, exposing vulnerability to agricultural cycles.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Mosaic's role in feeding the world through crop nutrient production provides genuine societal purpose, supporting global food security [1]. CEO Bruce Bodine's acknowledgment of 'affordability pressures' impacting farmers shows awareness of the end-customer. However, the cyclical nature of fertilizer markets, idling of Brazilian operations (Araxa and Fospar), and $829M increase in net debt during 2025 create stakeholder uncertainty.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Mosaic shows solid structural metrics: D/E of 43.2%, forward P/E of 10.2x, and potash cash costs of $75/ton among the lowest globally [1]. The 3.5% dividend yield at 51.8% payout is sustainable, and the $2.1B Ma'aden equity stake provides a hidden asset. However, current profitability is weak with 4.5% profit margin, 4.8% ROE, and the $960M working capital absorption in 2025 significantly impacted free cash flow.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Mosaic's role in global food security provides an enduring mission, but the highly cyclical commodity business model creates boom-and-bust dynamics that force short-term, finite-game decisions like idling Brazilian operations and managing working capital swings.</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Producing nutrients that feed global crops addresses one of humanity's most fundamental needs — food security [1]. Mosaic Biosciences' expansion into sustainable agriculture solutions adds purpose beyond basic commodity production. The company's operations in the U.S., Brazil, and Canada support agricultural communities globally.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Mosaic's 13,249 employees operate across mining and processing facilities on three continents. The idling of Araxa and Fospar in Brazil 'until further notice' creates significant uncertainty for those workers [1]. The $150M cost savings achievement ahead of schedule suggests operational efficiency but may have come at the cost of workforce strain.</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Mosaic competes with Nutrien, CF Industries, and ICL Group in global fertilizer markets. The company's potash cost position ($75/ton) and record Esterhazy production planned for 2026 show competitive positioning [1]. However, commodity market competition is primarily price-based rather than innovation-driven.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Mosaic Biosciences' expansion (doubled to $68M, targeting another doubling in 2026) represents meaningful diversification from commodity fertilizers [1]. The $170M in asset divestiture proceeds and $60M ARO reduction show portfolio management flexibility. However, the core business remains tied to fertilizer commodity cycles.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Management's decision to idle Brazilian operations and not provide full-year Fertilizantes guidance reflects caution rather than courage [1]. The $900M debt raise in November to address working capital needs suggests reactive rather than proactive financial management. Pursuing record Esterhazy production in 2026 shows some operational boldness.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Mosaic at 10.2x forward earnings with a 3.5% dividend yield represents a cyclical value play positioned for recovery as global phosphate and potash shipments are expected to reach record levels in 2026 [1]. The company's low-cost potash production ($75/ton), record Esterhazy production target, and Biosciences business doubling to $68M with 40%+ margins provide multiple growth drivers. The $2.1B Ma'aden equity stake represents a hidden asset worth over 25% of the market cap, and $150M+ in cost savings demonstrate operational improvement.</w:t>
      </w:r>
    </w:p>
    <w:p>
      <w:pPr>
        <w:spacing w:after="120"/>
      </w:pPr>
      <w:r>
        <w:rPr>
          <w:rFonts w:ascii="Calibri" w:hAnsi="Calibri"/>
          <w:b w:val="0"/>
          <w:color w:val="3A4A28"/>
          <w:sz w:val="20"/>
        </w:rPr>
        <w:t>The bear case reflects deep cyclical challenges. Q4 2025 phosphate demand dropped 20% in the U.S., sulfur prices created a $250M EBITDA headwind in Q1 2026, and working capital absorbed $960M of cash flow in 2025, driving an $829M increase in net debt [1]. The company idled two Brazilian operations 'until further notice' and declined to provide Fertilizantes sales volume guidance, signaling uncertainty about the Brazilian market. The 4.5% profit margin and 4.8% ROE reflect trough-cycle economics, and fertilizer prices remain volatile and dependent on geopolitical factors. The $900M debt raise suggests financial pressure, and free cash flow in 2026 must improve significantly to sustain the dividend and capex plan.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Global phosphate and potash shipments expected to reach record levels in 2026, driven by depleted soil nutrient levels and population growth supporting food demand [1]</w:t>
      </w:r>
    </w:p>
    <w:p>
      <w:pPr>
        <w:spacing w:before="40" w:after="40"/>
        <w:ind w:left="283"/>
      </w:pPr>
      <w:r>
        <w:rPr>
          <w:rFonts w:ascii="Calibri" w:hAnsi="Calibri"/>
          <w:b/>
          <w:color w:val="4A6B25"/>
          <w:sz w:val="20"/>
        </w:rPr>
        <w:t xml:space="preserve">2. </w:t>
      </w:r>
      <w:r>
        <w:rPr>
          <w:rFonts w:ascii="Calibri" w:hAnsi="Calibri"/>
          <w:b w:val="0"/>
          <w:color w:val="3A4A28"/>
          <w:sz w:val="20"/>
        </w:rPr>
        <w:t>Mosaic Biosciences targeting another year of doubling net sales ($130M+) with 8-10 new product launches in 2026, providing high-margin diversification [1]</w:t>
      </w:r>
    </w:p>
    <w:p>
      <w:pPr>
        <w:spacing w:before="40" w:after="40"/>
        <w:ind w:left="283"/>
      </w:pPr>
      <w:r>
        <w:rPr>
          <w:rFonts w:ascii="Calibri" w:hAnsi="Calibri"/>
          <w:b/>
          <w:color w:val="4A6B25"/>
          <w:sz w:val="20"/>
        </w:rPr>
        <w:t xml:space="preserve">3. </w:t>
      </w:r>
      <w:r>
        <w:rPr>
          <w:rFonts w:ascii="Calibri" w:hAnsi="Calibri"/>
          <w:b w:val="0"/>
          <w:color w:val="3A4A28"/>
          <w:sz w:val="20"/>
        </w:rPr>
        <w:t>Sulfur price normalization and working capital release could drive significant cash flow improvement in 2H 2026, supporting $1.5B capex and dividend commitments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Sulfur prices adding $250M quarterly EBITDA headwind in Q1 2026 could persist, compressing margins below the levels needed to sustain the dividend and $1.5B capex [1]</w:t>
      </w:r>
    </w:p>
    <w:p>
      <w:pPr>
        <w:spacing w:before="40" w:after="40"/>
        <w:ind w:left="283"/>
      </w:pPr>
      <w:r>
        <w:rPr>
          <w:rFonts w:ascii="Calibri" w:hAnsi="Calibri"/>
          <w:b/>
          <w:color w:val="4A6B25"/>
          <w:sz w:val="20"/>
        </w:rPr>
        <w:t xml:space="preserve">2. </w:t>
      </w:r>
      <w:r>
        <w:rPr>
          <w:rFonts w:ascii="Calibri" w:hAnsi="Calibri"/>
          <w:b w:val="0"/>
          <w:color w:val="3A4A28"/>
          <w:sz w:val="20"/>
        </w:rPr>
        <w:t>Brazilian operations idled at Araxa and Fospar could extend into 2026, reducing Fertilizantes segment contribution and stranding invested capital</w:t>
      </w:r>
    </w:p>
    <w:p>
      <w:pPr>
        <w:spacing w:before="40" w:after="40"/>
        <w:ind w:left="283"/>
      </w:pPr>
      <w:r>
        <w:rPr>
          <w:rFonts w:ascii="Calibri" w:hAnsi="Calibri"/>
          <w:b/>
          <w:color w:val="4A6B25"/>
          <w:sz w:val="20"/>
        </w:rPr>
        <w:t xml:space="preserve">3. </w:t>
      </w:r>
      <w:r>
        <w:rPr>
          <w:rFonts w:ascii="Calibri" w:hAnsi="Calibri"/>
          <w:b w:val="0"/>
          <w:color w:val="3A4A28"/>
          <w:sz w:val="20"/>
        </w:rPr>
        <w:t>Net debt increased $829M in 2025 from working capital absorption — if this pattern continues in 2026, the balance sheet could deteriorate toward credit rating downgrade thresholds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has limited impact on Mosaic's core mining and fertilizer production operations, which are capital-intensive, commodity-driven businesses. AI could provide incremental benefits through precision agriculture partnerships, predictive maintenance, and supply chain optimization, but these are marginal improvements rather than transformative changes. The fertilizer industry is not meaningfully threatened or enabled by AI advancement.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Mosaic Q4/FY2025 Earnings Release and Call Transcript, February 25,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MOS key statistics,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Mosaic Biosciences Strategy and Cost Savings Program,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