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MOVE</w:t>
      </w:r>
      <w:r>
        <w:rPr>
          <w:rFonts w:ascii="Calibri" w:hAnsi="Calibri"/>
          <w:b/>
          <w:color w:val="1A2010"/>
          <w:sz w:val="40"/>
        </w:rPr>
        <w:t xml:space="preserve">  Corvex, Inc.</w:t>
      </w:r>
    </w:p>
    <w:p>
      <w:pPr>
        <w:spacing w:after="120"/>
      </w:pPr>
      <w:r>
        <w:rPr>
          <w:rFonts w:ascii="Calibri" w:hAnsi="Calibri"/>
          <w:b/>
          <w:color w:val="6E8450"/>
          <w:sz w:val="18"/>
        </w:rPr>
        <w:t>GROWTH SLEEVE · 2026-05-05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Corvex, Inc. (formerly Movano Inc.) is an AI cloud computing company providing GPU-accelerated infrastructure for AI workloads. The company offers GPU Clusters, Inference as a Service, Confidential Computing, and GPU Node products via its Amplified AI Cloud platform. Formed through an all-stock merger of Movano and Corvex completed March 2026.</w:t>
      </w:r>
    </w:p>
    <w:p>
      <w:r>
        <w:rPr>
          <w:rFonts w:ascii="Calibri" w:hAnsi="Calibri"/>
          <w:b/>
          <w:color w:val="6E8450"/>
          <w:sz w:val="18"/>
        </w:rPr>
        <w:t>https://www.corvex.ai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Corvex completed a transformative reverse merger with Movano in March 2026, pivoting from health wearables to AI cloud infrastructure — a bold business model change, but unproven in execution with only $4.9M AI revenue for nine months ended September 2025 [1]. AI Deployment (1/2): The company has secured Nvidia H200 GPU leases and offers GPU-accelerated compute, confidential computing, and inference services, but revenue remains minimal at $433K TTM consolidated [1]. Market Share (0/2): Corvex is a negligible participant in the massive AI infrastructure market dominated by AWS, Azure, GCP, CoreWeave, and Lambda, with no evidence of meaningful market share or competitive differentiation [1]. Pipeline (1/2): The Amplified AI Cloud platform addressing scale, efficiency, and security in AI is positioned against real market needs, with the H200 GPU infrastructure providing a foundation for growth [1]. R&amp;D Intensity (0/1): No evidence of significant R&amp;D investment relative to the scale required to compete in AI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Corvex's stated purpose of solving the three defining challenges of the AI era — scale, efficiency, and security — is generic marketing language used by every AI infrastructure company [1]. Community Impact (0/2): No evidence of charitable programs, community investment, or social initiatives for this newly formed public company [3]. Employee Retention (0/2): As a freshly merged entity (March 2026) with undisclosed employee count and entirely new leadership, meaningful retention data is unavailable. Board resignations of Movano directors (Leabman, Wirk) in March 2026 raise continuity questions [3]. Insider Buying (1/2): Co-founders Jay Crystal and Seth Demsey hold significant equity stakes from the merger, aligning their interests with shareholders, though this is structural rather than open-market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Corvex passes the liquidity floor ($1.29M daily dollar volume &gt; $1M threshold) but scores near zero on all available financial metrics [4]. Profit margin of 0% is at the floor (score 0.0). Forward P/E is negative (-4.4x) indicating losses, excluded from scoring. ROE, D/E, revenue growth, PEG all unavailable/null. The company has $874M market cap on essentially zero sustainable revenue, disclosed material weaknesses in internal controls, and is in a one-year Nasdaq compliance monitoring period after nearly being delisted [3]. Mechanical calculation with only profit margin available: 0.0/1 × 10 = 0, rounded up to 1 given liquidity floor passage.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Corvex is a newly public company formed through a reverse merger that is fundamentally playing a finite game — racing to achieve scale and revenue before running out of capital and Nasdaq compliance patience. The company's one-year monitoring period and material control weaknesses suggest survival mode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points). Corvex's stated mission of addressing 'scale, efficiency, and security' in AI infrastructure is a market opportunity description, not a Just Cause [1]. The company exists to capture revenue in a hot market through a reverse merger — there is no evidence of a deeper purpose that would survive a market downturn or leadership change.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 points). The company just completed a merger in March 2026 with immediate board resignations (Leabman and Wirk departing), disclosed material weaknesses in internal controls, and is reconstituting leadership through a stockholder vote [3]. The governance instability — changing auditors, amending annual reports, and entering Nasdaq monitoring — indicates organizational fragility rather than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points). Corvex's positioning focuses on differentiation claims (confidential computing, security) rather than acknowledging the overwhelming competitive advantages of hyperscalers and CoreWeave [1]. No evidence of management commentary referencing what they're learning from rivals or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point). The Movano-to-Corvex pivot itself represents dramatic existential flexibility — abandoning health wearables entirely to become an AI cloud infrastructure company. While driven more by Movano's failure than strategic vision, the willingness to completely reinvent the public company's identity demonstrates adaptability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point). The decision to abandon Movano's health wearable business entirely and merge with an AI infrastructure startup required courage from both boards — recognizing that the existing path was failing and choosing radical transformation over incremental decline [1]. However, this was desperation-driven rather than conviction-driven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Corvex addresses real demand in the AI infrastructure market through its Amplified AI Cloud platform offering GPU clusters, inference services, and confidential computing. The company secured Nvidia H200 GPU leases and reported $4.9M in AI revenue for nine months ended September 2025, demonstrating initial traction [1]. Co-CEO Seth Demsey brings three decades of AI/ML platform experience from NASA, Microsoft, Google, and AOL, providing technical credibility. The $874M market cap positions Corvex as a potential high-growth AI infrastructure play if execution materializes.</w:t>
      </w:r>
    </w:p>
    <w:p>
      <w:pPr>
        <w:spacing w:after="120"/>
      </w:pPr>
      <w:r>
        <w:rPr>
          <w:rFonts w:ascii="Calibri" w:hAnsi="Calibri"/>
          <w:b w:val="0"/>
          <w:color w:val="3A4A28"/>
          <w:sz w:val="20"/>
        </w:rPr>
        <w:t>The bear case is severe. Corvex has essentially zero sustainable revenue ($433K TTM consolidated), an $874M market cap built entirely on speculative AI narrative, and disclosed material weaknesses in internal controls [3]. The company was nearly delisted from Nasdaq and remains under a one-year compliance monitoring period. It competes against hyperscalers with $100B+ annual capex budgets and AI-native infrastructure leaders (CoreWeave, Lambda) with vastly superior GPU procurement, data center capacity, and customer relationships. The reverse merger structure often signals inability to raise capital through traditional IPO channels. Board instability (immediate resignations post-merger) and auditor changes raise governance red flags. The stock rose 70% on the H200 GPU announcement alone, suggesting speculative momentum-driven pricing disconnected from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Demonstration of meaningful revenue acceleration from the Amplified AI Cloud platform, proving commercial viability against hyperscaler competition [1]</w:t>
      </w:r>
    </w:p>
    <w:p>
      <w:pPr>
        <w:spacing w:before="40" w:after="40"/>
        <w:ind w:left="283"/>
      </w:pPr>
      <w:r>
        <w:rPr>
          <w:rFonts w:ascii="Calibri" w:hAnsi="Calibri"/>
          <w:b/>
          <w:color w:val="4A6B25"/>
          <w:sz w:val="20"/>
        </w:rPr>
        <w:t xml:space="preserve">2. </w:t>
      </w:r>
      <w:r>
        <w:rPr>
          <w:rFonts w:ascii="Calibri" w:hAnsi="Calibri"/>
          <w:b w:val="0"/>
          <w:color w:val="3A4A28"/>
          <w:sz w:val="20"/>
        </w:rPr>
        <w:t>Successful stockholder vote confirming Crystal/Demsey co-CEO leadership and stabilizing corporate governance post-merger [3]</w:t>
      </w:r>
    </w:p>
    <w:p>
      <w:pPr>
        <w:spacing w:before="40" w:after="40"/>
        <w:ind w:left="283"/>
      </w:pPr>
      <w:r>
        <w:rPr>
          <w:rFonts w:ascii="Calibri" w:hAnsi="Calibri"/>
          <w:b/>
          <w:color w:val="4A6B25"/>
          <w:sz w:val="20"/>
        </w:rPr>
        <w:t xml:space="preserve">3. </w:t>
      </w:r>
      <w:r>
        <w:rPr>
          <w:rFonts w:ascii="Calibri" w:hAnsi="Calibri"/>
          <w:b w:val="0"/>
          <w:color w:val="3A4A28"/>
          <w:sz w:val="20"/>
        </w:rPr>
        <w:t>Additional GPU procurement or data center capacity announcements that would validate the company's ability to scale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competition risk from hyperscalers (AWS, Azure, GCP) and well-capitalized AI infrastructure companies (CoreWeave at $35B+ valuation) with 1000x more resources [1]</w:t>
      </w:r>
    </w:p>
    <w:p>
      <w:pPr>
        <w:spacing w:before="40" w:after="40"/>
        <w:ind w:left="283"/>
      </w:pPr>
      <w:r>
        <w:rPr>
          <w:rFonts w:ascii="Calibri" w:hAnsi="Calibri"/>
          <w:b/>
          <w:color w:val="4A6B25"/>
          <w:sz w:val="20"/>
        </w:rPr>
        <w:t xml:space="preserve">2. </w:t>
      </w:r>
      <w:r>
        <w:rPr>
          <w:rFonts w:ascii="Calibri" w:hAnsi="Calibri"/>
          <w:b w:val="0"/>
          <w:color w:val="3A4A28"/>
          <w:sz w:val="20"/>
        </w:rPr>
        <w:t>Nasdaq compliance monitoring period — any new listing violation triggers immediate delisting hearing with no cure period [3]</w:t>
      </w:r>
    </w:p>
    <w:p>
      <w:pPr>
        <w:spacing w:before="40" w:after="40"/>
        <w:ind w:left="283"/>
      </w:pPr>
      <w:r>
        <w:rPr>
          <w:rFonts w:ascii="Calibri" w:hAnsi="Calibri"/>
          <w:b/>
          <w:color w:val="4A6B25"/>
          <w:sz w:val="20"/>
        </w:rPr>
        <w:t xml:space="preserve">3. </w:t>
      </w:r>
      <w:r>
        <w:rPr>
          <w:rFonts w:ascii="Calibri" w:hAnsi="Calibri"/>
          <w:b w:val="0"/>
          <w:color w:val="3A4A28"/>
          <w:sz w:val="20"/>
        </w:rPr>
        <w:t>Material weaknesses in internal controls and governance instability (board resignations, auditor changes) create risk of financial misstatement or regulatory action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Corvex IS an AI infrastructure company, which typically would score 8-9 as immune from AI disruption. However, Corvex is a tiny participant ($4.9M revenue) competing against hyperscalers (AWS, Azure, GCP) and well-funded AI-native infrastructure companies (CoreWeave valued at $35B+, Lambda) with vastly superior scale, capital, and GPU procurement power [1]. The company's survival itself is at risk from AI market competition rather than AI disruption per se — it's not that AI threatens Corvex, but that better-capitalized AI infrastructure competitors could render Corvex irrelevant. AI Opportunity (1/1): Corvex generates 100% of its revenue from AI infrastructure services — GPU clusters, inference, and confidential computing are purely AI workloads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Corvex/Movano merger press releases — all-stock merger completion March 2026, Amplified AI Cloud platform, H200 GPU lease, $4.9M AI revenue</w:t>
      </w:r>
    </w:p>
    <w:p>
      <w:pPr>
        <w:spacing w:before="20" w:after="20"/>
        <w:ind w:left="170"/>
      </w:pPr>
      <w:r>
        <w:rPr>
          <w:rFonts w:ascii="Calibri" w:hAnsi="Calibri"/>
          <w:b/>
          <w:color w:val="4A6B25"/>
          <w:sz w:val="15"/>
        </w:rPr>
        <w:t xml:space="preserve">2. </w:t>
      </w:r>
      <w:r>
        <w:rPr>
          <w:rFonts w:ascii="Calibri" w:hAnsi="Calibri"/>
          <w:b w:val="0"/>
          <w:color w:val="3A4A28"/>
          <w:sz w:val="17"/>
        </w:rPr>
        <w:t>Corvex corporate website and SEC filings — co-CEO backgrounds (Crystal, Demsey), product offerings, and business description</w:t>
      </w:r>
    </w:p>
    <w:p>
      <w:pPr>
        <w:spacing w:before="20" w:after="20"/>
        <w:ind w:left="170"/>
      </w:pPr>
      <w:r>
        <w:rPr>
          <w:rFonts w:ascii="Calibri" w:hAnsi="Calibri"/>
          <w:b/>
          <w:color w:val="4A6B25"/>
          <w:sz w:val="15"/>
        </w:rPr>
        <w:t xml:space="preserve">3. </w:t>
      </w:r>
      <w:r>
        <w:rPr>
          <w:rFonts w:ascii="Calibri" w:hAnsi="Calibri"/>
          <w:b w:val="0"/>
          <w:color w:val="3A4A28"/>
          <w:sz w:val="17"/>
        </w:rPr>
        <w:t>Nasdaq compliance and governance filings — monitoring period, material control weaknesses, board changes, auditor transition, April-May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MOVE key statistics, market data, volume metrics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