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w:t>
      </w:r>
      <w:r>
        <w:rPr>
          <w:rFonts w:ascii="Calibri" w:hAnsi="Calibri"/>
          <w:b/>
          <w:color w:val="1A2010"/>
          <w:sz w:val="40"/>
        </w:rPr>
        <w:t xml:space="preserve">  Altria Group, Inc.</w:t>
      </w:r>
    </w:p>
    <w:p>
      <w:pPr>
        <w:spacing w:after="120"/>
      </w:pPr>
      <w:r>
        <w:rPr>
          <w:rFonts w:ascii="Calibri" w:hAnsi="Calibri"/>
          <w:b/>
          <w:color w:val="6E8450"/>
          <w:sz w:val="18"/>
        </w:rPr>
        <w:t>DIVIDEND SLEEVE · 2026-03-27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United States</w:t>
      </w:r>
    </w:p>
    <w:p>
      <w:pPr>
        <w:spacing w:after="80"/>
      </w:pPr>
      <w:r>
        <w:rPr>
          <w:rFonts w:ascii="Calibri" w:hAnsi="Calibri"/>
          <w:b w:val="0"/>
          <w:color w:val="3A4A28"/>
          <w:sz w:val="20"/>
        </w:rPr>
        <w:t>Altria Group is the dominant U.S. tobacco company, manufacturing and selling cigarettes (Marlboro, 42% market share), smokeless tobacco (Copenhagen, Skoal), and oral nicotine pouches (on! PLUS). The company invested $10B+ in Juul and $3B+ in NJOY e-vapor, and returned $8B to shareholders in 2025 through dividends and buybacks.</w:t>
      </w:r>
    </w:p>
    <w:p>
      <w:r>
        <w:rPr>
          <w:rFonts w:ascii="Calibri" w:hAnsi="Calibri"/>
          <w:b/>
          <w:color w:val="6E8450"/>
          <w:sz w:val="18"/>
        </w:rPr>
        <w:t>5,900 Employees · https://www.altria.com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Altria's innovation track record is mixed — the company invested over $10B in Juul (written down to zero) and $3B+ in NJOY, which now faces an ITC exclusion order prohibiting NJOY ACE imports [1]. The on! PLUS oral nicotine pouch nationwide launch represents a brighter spot in the smoke-free portfolio, and Helix Innovations achieved profitability ahead of schedule in Q4 2024 [1]. However, adjusted EPS grew only 4.4% to $5.42 while revenue declined 3.1%, reflecting a structurally shrinking cigarette market with 7.9% volume decline. The 42% Marlboro market share provides pricing power but masks secular decline.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Altria's core business — manufacturing and selling cigarettes — carries inherent inspirational limitations given tobacco's health impact. The company frames its purpose around transitioning adult smokers to potentially less harmful alternatives, which has some validity but is complicated by the NJOY ACE import ban and $10B Juul write-off [1]. $8B in 2025 shareholder returns demonstrates commitment to capital allocation. The 5,900-employee count is lean for a $108B market cap company, suggesting efficiency but limited organizational culture depth.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Altria's financial profile is strong: 34.5% profit margin, forward P/E of 11.1, and a 6.56% dividend yield that represents the stock's primary investment case [4]. Adjusted EPS of $5.42 growing to $5.56-$5.72 guided for 2026 shows consistent earnings delivery despite volume headwinds. However, D/E and ROE data are unavailable (likely reflecting the negative book value from share buybacks), revenue declined 3.1% with cigarette shipments down 7.9%, and the 100.97% GAAP payout ratio raises sustainability questions [4]. Pricing power offsets volume decline but has limits.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Altria demonstrates some infinite game characteristics through its 55 consecutive years of dividend growth and willingness to invest billions in smoke-free alternatives. However, the company's core business is in structural decline, and the $10B+ in failed investments (Juul, NJOY ACE difficulties) reveal finite thinking around buying growth rather than building it organically.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Altria's stated cause of 'moving beyond smoking' is undermined by the reality that Marlboro cigarettes still generate the vast majority of profits [1]. The company sells products known to cause cancer and addiction, creating a fundamental tension with any transcendent purpose. The smoke-free transition is economically motivated rather than values-driven, given that cigarette pricing power still delivers 63.4% adjusted OCI margins.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Altria's 5,900-employee organization is lean and efficient, and the company's consistent financial performance suggests disciplined execution [1]. The 55 consecutive years of dividend growth require organizational reliability across leadership transitions. However, the Juul investment disaster ($10B+ destroyed) and NJOY ACE import ban suggest governance failures at the strategic investment level.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Altria competes against Philip Morris International (which successfully commercialized IQOS globally), Reynolds American, and emerging nicotine companies. PMI's success with IQOS shows what Altria's smoke-free transition could look like, but Altria sold back the IQOS commercialization rights rather than competing — suggesting retreat rather than rivalry learning. The on! PLUS launch is a response to Zyn's market success.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Altria has attempted to diversify beyond cigarettes through Juul, NJOY, Helix/on!, and the IQOS partnership, showing willingness to evolve [1]. However, each non-cigarette venture has faced significant setbacks ($10B Juul write-off, NJOY ACE import ban, IQOS rights returned). The company remains overwhelmingly dependent on Marlboro cigarettes, and its ability to build or acquire successful smoke-free businesses remains unproven.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Altria's $8B annual shareholder return commitment and 55 consecutive dividend increases show financial commitment [1]. The nationwide on! PLUS launch represents a significant bet on oral nicotine pouches. However, the inability to anticipate Juul's regulatory collapse or protect NJOY ACE from ITC exclusion raises questions about strategic risk management rather than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Altria Group offers one of the highest dividend yields in the S&amp;P 500 at 6.56% backed by 55 consecutive years of increases, with adjusted EPS growing from $5.42 to a guided $5.56-$5.72 in 2026 despite declining cigarette volumes [1]. Marlboro's 42% market share provides unmatched pricing power — smokeable adjusted OCI margins expanded 1.8 percentage points to 63.4% even as volumes declined 7.9%. The stock has risen 20%+ YTD and trades at 11.1x forward P/E, suggesting the market is finally recognizing Altria's durability. The on! PLUS nationwide launch and Helix profitability achievement (ahead of schedule) provide potential upside from the smoke-free transition.</w:t>
      </w:r>
    </w:p>
    <w:p>
      <w:pPr>
        <w:spacing w:after="120"/>
      </w:pPr>
      <w:r>
        <w:rPr>
          <w:rFonts w:ascii="Calibri" w:hAnsi="Calibri"/>
          <w:b w:val="0"/>
          <w:color w:val="3A4A28"/>
          <w:sz w:val="20"/>
        </w:rPr>
        <w:t>The bear case is structural: cigarette shipments declined 7.9% in 2025 driven by industry decline, illicit e-vapor products, and discretionary income pressures [1]. Revenue fell 3.1% to $23.3B, and the 101% GAAP payout ratio leaves no margin for error. The $10B+ Juul write-off and NJOY ACE import ban demonstrate that Altria's smoke-free investments have destroyed significant shareholder value. 2026 guidance assumes NJOY ACE does not return to the marketplace, removing a key growth pillar. The Inspire MISALIGNED rating (-65) with Tobacco, Cannabis, and LGBT Activism attributions limits the investor base. Regulatory risk from potential menthol cigarette bans, nicotine caps, or additional e-vapor restrictions could further accelerate volume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 PLUS oral nicotine pouch nationwide launch targeting Zyn's rapidly growing market, with Helix Innovations already achieving profitability ahead of schedule [1]</w:t>
      </w:r>
    </w:p>
    <w:p>
      <w:pPr>
        <w:spacing w:before="40" w:after="40"/>
        <w:ind w:left="283"/>
      </w:pPr>
      <w:r>
        <w:rPr>
          <w:rFonts w:ascii="Calibri" w:hAnsi="Calibri"/>
          <w:b/>
          <w:color w:val="4A6B25"/>
          <w:sz w:val="20"/>
        </w:rPr>
        <w:t xml:space="preserve">2. </w:t>
      </w:r>
      <w:r>
        <w:rPr>
          <w:rFonts w:ascii="Calibri" w:hAnsi="Calibri"/>
          <w:b w:val="0"/>
          <w:color w:val="3A4A28"/>
          <w:sz w:val="20"/>
        </w:rPr>
        <w:t>Adjusted EPS growth of 2.5-5.5% guided for 2026 ($5.56-$5.72), weighted to H2, driven by pricing power and cost discipline [1]</w:t>
      </w:r>
    </w:p>
    <w:p>
      <w:pPr>
        <w:spacing w:before="40" w:after="40"/>
        <w:ind w:left="283"/>
      </w:pPr>
      <w:r>
        <w:rPr>
          <w:rFonts w:ascii="Calibri" w:hAnsi="Calibri"/>
          <w:b/>
          <w:color w:val="4A6B25"/>
          <w:sz w:val="20"/>
        </w:rPr>
        <w:t xml:space="preserve">3. </w:t>
      </w:r>
      <w:r>
        <w:rPr>
          <w:rFonts w:ascii="Calibri" w:hAnsi="Calibri"/>
          <w:b w:val="0"/>
          <w:color w:val="3A4A28"/>
          <w:sz w:val="20"/>
        </w:rPr>
        <w:t>55th consecutive year of dividend growth with 6.56% yield at lowest yield since pre-COVID, suggesting market confidence in capital return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Cigarette volume decline of 7.9% in 2025 driven by illicit e-vapor growth and secular smoking decline could accelerate if FDA increases enforcement against illicit products [1]</w:t>
      </w:r>
    </w:p>
    <w:p>
      <w:pPr>
        <w:spacing w:before="40" w:after="40"/>
        <w:ind w:left="283"/>
      </w:pPr>
      <w:r>
        <w:rPr>
          <w:rFonts w:ascii="Calibri" w:hAnsi="Calibri"/>
          <w:b/>
          <w:color w:val="4A6B25"/>
          <w:sz w:val="20"/>
        </w:rPr>
        <w:t xml:space="preserve">2. </w:t>
      </w:r>
      <w:r>
        <w:rPr>
          <w:rFonts w:ascii="Calibri" w:hAnsi="Calibri"/>
          <w:b w:val="0"/>
          <w:color w:val="3A4A28"/>
          <w:sz w:val="20"/>
        </w:rPr>
        <w:t>NJOY ACE import ban eliminates Altria's primary e-vapor growth vehicle for 2026, and 2026 guidance explicitly assumes no return to market [1]</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potential menthol cigarette bans or nicotine caps could structurally impair Marlboro's pricing power and volume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Tobacco manufacturing, distribution, and retail relationships are physical businesses that AI cannot displace [1]. The addictive nature of nicotine products creates exceptionally sticky demand independent of technology trends. AI could enhance Altria's marketing analytics, supply chain optimization, and consumer behavior prediction, but the regulatory constraints on tobacco advertising limit AI's commercial application. The greater AI-related risk is that AI-powered health monitoring and cessation tools could accelerate the shift away from combustible tobacco — a modest but real long-term headwind.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Tobacco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Altria Group Q4 2025 and Full Year 2025 Results,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Altria Group CAGNY Conference 2026 Reaffirmation, March 2026</w:t>
      </w:r>
    </w:p>
    <w:p>
      <w:pPr>
        <w:spacing w:before="20" w:after="20"/>
        <w:ind w:left="170"/>
      </w:pPr>
      <w:r>
        <w:rPr>
          <w:rFonts w:ascii="Calibri" w:hAnsi="Calibri"/>
          <w:b/>
          <w:color w:val="4A6B25"/>
          <w:sz w:val="15"/>
        </w:rPr>
        <w:t xml:space="preserve">3. </w:t>
      </w:r>
      <w:r>
        <w:rPr>
          <w:rFonts w:ascii="Calibri" w:hAnsi="Calibri"/>
          <w:b w:val="0"/>
          <w:color w:val="3A4A28"/>
          <w:sz w:val="17"/>
        </w:rPr>
        <w:t>Altria Group ESG and sustainability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MO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