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MPLX</w:t>
      </w:r>
      <w:r>
        <w:rPr>
          <w:rFonts w:ascii="Calibri" w:hAnsi="Calibri"/>
          <w:b/>
          <w:color w:val="1A2010"/>
          <w:sz w:val="40"/>
        </w:rPr>
        <w:t xml:space="preserve">  MPLX LP</w:t>
      </w:r>
    </w:p>
    <w:p>
      <w:pPr>
        <w:spacing w:after="120"/>
      </w:pPr>
      <w:r>
        <w:rPr>
          <w:rFonts w:ascii="Calibri" w:hAnsi="Calibri"/>
          <w:b/>
          <w:color w:val="6E8450"/>
          <w:sz w:val="18"/>
        </w:rPr>
        <w:t>DIVIDEND SLEEVE · 2026-04-23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MPLX LP is a midstream energy master limited partnership that owns and operates crude oil and natural gas gathering, processing, transportation, and logistics infrastructure across the United States. Operating through Crude Oil and Products Logistics and Natural Gas and NGL Services segments, MPLX serves as the midstream arm of Marathon Petroleum Corporation. The company operates pipelines, terminals, storage caverns, processing plants, and an inland marine fleet.</w:t>
      </w:r>
    </w:p>
    <w:p>
      <w:r>
        <w:rPr>
          <w:rFonts w:ascii="Calibri" w:hAnsi="Calibri"/>
          <w:b/>
          <w:color w:val="6E8450"/>
          <w:sz w:val="18"/>
        </w:rPr>
        <w:t>https://www.mplx.com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MPLX has delivered steady growth — revenue of $12.0B in 2025 (up 9.1%), net income of $3.5B (up 9.4%), and distribution increases of 12.5% in Q3 2025 [1]. However, growth is largely driven by organic throughput increases and bolt-on acquisitions rather than transformative innovation. AI Deployment (1/2): MPLX announced a collaboration with MARA Holdings to develop integrated power generation and data center campuses in West Texas, utilizing low-cost natural gas from its Delaware Basin facilities to generate up to 1.5 GW for AI workloads [2]. This is an early-stage initiative with no revenue yet. Market Share (2/2): MPLX operates one of the largest integrated midstream platforms in the U.S., with dominant positions in the Marcellus/Utica (natural gas processing) and Permian Basin (gathering), plus a diversified logistics network including marine, terminals, and rail [1]. Pipeline (1/2): $2.7B capital spending guided for 2026 ($2.4B growth, $300M maintenance), with 90% of growth capital directed at Natural Gas and NGL Services — specific projects include gathering and processing capacity expansions [1]. R&amp;D Intensity (0/1): Minimal R&amp;D — midstream MLPs invest in infrastructure assets, not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MPLX's purpose is functional — safely and reliably moving hydrocarbons through midstream infrastructure. This is interchangeable with any midstream MLP and does not articulate a deeper purpose beyond operational excellence. Community Impact (1/2): MPLX publishes sustainability reports jointly with parent Marathon Petroleum, with methane emissions intensity reduction goals (75% by 2030 from 2016 baseline) showing environmental commitment [3]. However, the company has faced protests from indigenous communities regarding pipeline rights-of-way, typical for midstream operators. Employee Retention (1/2): MPLX's workforce data is not separately disclosed (employees are shared with parent MPC), making independent assessment difficult. Leadership continuity under President Timothy Aydt and COO Ray Brooks suggests organizational stability [2]. Insider Buying (2/2): MPLX's distribution coverage ratio of 1.4x and 12% annual distribution growth guidance demonstrate significant insider confidence in the business, and the MPC parent maintains its substantial LP stake, aligning general partner interests with unitholders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MPLX's financial profile is among the strongest in midstream. Profit margin of 41.6% reflects the toll-road nature of midstream cash flows with fee-based revenue [5]. Forward P/E of 11.3x is attractive for a partnership growing distributions at 12% annually. ROE of 34.7% demonstrates efficient capital deployment. Revenue of $12.0B grew 9.1% in 2025, with the Natural Gas and NGL Services segment surging 12.9% to $7.0B [1]. D/E of 180.1% is elevated but typical for midstream MLPs that use leverage to fund infrastructure assets. The dividend profile is strong: 7.73% yield, 14 consecutive years paid, 3 consecutive years of growth, and 7.5% 5-year CAGR [5]. Payout ratio of 81.9% is high but supported by a 1.4x distribution coverage ratio, indicating sustainable distributions. 2026 adjusted EBITDA guidance of $7.0-$7.3B implies continued mid-single-digit growth [1]. Liquidity floor cleared at $102.9M daily turnover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MPLX operates with a fundamentally finite orientation — the MLP structure is designed to maximize distributions to unitholders, and the company's strategy is driven by asset optimization and capital efficiency rather than a transformative just cause. However, the long-lived nature of midstream infrastructure (30-50 year asset lives) and the essential role of natural gas in the energy transition provide an inherently long-term business foundation.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Cause exists but is shallow (1 point). MPLX's purpose is to safely and reliably transport hydrocarbons and generate distributions for unitholders — functional and honest but not a Just Cause in Sinek's framework. The company doesn't articulate a vision of a better future that inspires sacrifice. The MLP structure explicitly prioritizes capital return over reinvestment, which is the antithesis of an infinite game orientation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without standout evidence (1 point). Leadership stability under President Aydt and COO Brooks suggests organizational consistency [2]. The company operates safely in a high-hazard industry (pipeline operations), which requires baseline trust and procedural discipline. However, MPLX shares employees with parent MPC, and independent workforce culture data is not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 points). MPLX's competitive strategy focuses on geographic positioning, scale advantages, and cost of capital — these are structural advantages rather than competitive learning. The company doesn't publicly reference worthy rivals or frame competition as motivation for self-improvement. The MLP structure incentivizes asset accumulation over competitive evolution.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flexibility demonstrated (0 points). MPLX has operated the same basic business model since its 2012 formation — owning and operating midstream infrastructure. The MARA Holdings data center collaboration represents an interesting adjacency, but it's an early-stage initiative, not a transformative business model pivot. The MLP structure constrains existential flexibility because most cash flow must be distributed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evident (1 point). The 12.5% distribution increase in Q3 2025 and guidance for 12% annual growth demonstrates confidence in the long-term business trajectory, especially when many MLPs have adopted cautious capital return policies [1]. The $2.7B capital spending plan for 2026 represents a significant bet on natural gas infrastructure at a time when energy transition narratives question fossil fuel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MPLX LP is a premier midstream MLP offering a 7.73% distribution yield with 12% annual growth guidance, supported by a 1.4x coverage ratio and $2.0B in annual free cash flow [1][5]. The partnership generated $12.0B in revenue (up 9.1%) and $3.5B in net income (up 9.4%) in 2025, with 2026 adjusted EBITDA guidance of $7.0-$7.3B reflecting continued mid-single-digit growth from natural gas and NGL processing capacity expansions [1]. At 11.3x forward P/E with 41.6% profit margins, MPLX is attractively valued as an essential infrastructure business that benefits from AI-driven power demand growth — the MARA Holdings partnership targets 1.5 GW of gas-fired power for data centers [2]. The $2.7B capital spending program ($2.4B growth) provides multi-year distribution growth visibility.</w:t>
      </w:r>
    </w:p>
    <w:p>
      <w:pPr>
        <w:spacing w:after="120"/>
      </w:pPr>
      <w:r>
        <w:rPr>
          <w:rFonts w:ascii="Calibri" w:hAnsi="Calibri"/>
          <w:b w:val="0"/>
          <w:color w:val="3A4A28"/>
          <w:sz w:val="20"/>
        </w:rPr>
        <w:t>The bear case centers on energy transition risk, leverage, and MLP structural limitations. D/E of 180.1% reflects $26.2B in total debt, creating refinancing risk if interest rates remain elevated [5]. The 81.9% payout ratio leaves limited margin of safety for distribution maintenance if throughput volumes decline. Revenue 5-year CAGR of just 2.9% (excluding the strong 2025) suggests the business grows slowly absent acquisitions [5]. As an MLP, MPLX issues K-1 tax forms, limiting the investor base to those willing to accept tax complexity. The energy transition narrative creates long-term demand uncertainty for fossil fuel infrastructure, though natural gas is positioned as a transition fuel. Pipeline operations face ongoing environmental scrutiny and indigenous community protests that could delay or block expansion projects [3]. The MPC general partner structure creates potential conflicts of interest, as MPC could prioritize its refining operations over MPLX unitholder interests.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12% annual distribution growth guidance for at least two more years, supported by a 1.4x coverage ratio and $7.0-$7.3B adjusted EBITDA outlook for 2026 [1]</w:t>
      </w:r>
    </w:p>
    <w:p>
      <w:pPr>
        <w:spacing w:before="40" w:after="40"/>
        <w:ind w:left="283"/>
      </w:pPr>
      <w:r>
        <w:rPr>
          <w:rFonts w:ascii="Calibri" w:hAnsi="Calibri"/>
          <w:b/>
          <w:color w:val="4A6B25"/>
          <w:sz w:val="20"/>
        </w:rPr>
        <w:t xml:space="preserve">2. </w:t>
      </w:r>
      <w:r>
        <w:rPr>
          <w:rFonts w:ascii="Calibri" w:hAnsi="Calibri"/>
          <w:b w:val="0"/>
          <w:color w:val="3A4A28"/>
          <w:sz w:val="20"/>
        </w:rPr>
        <w:t>AI data center power demand tailwind — MARA Holdings partnership targeting 1.5 GW of gas-fired power generation from Delaware Basin natural gas, directly increasing MPLX throughput volumes [2]</w:t>
      </w:r>
    </w:p>
    <w:p>
      <w:pPr>
        <w:spacing w:before="40" w:after="40"/>
        <w:ind w:left="283"/>
      </w:pPr>
      <w:r>
        <w:rPr>
          <w:rFonts w:ascii="Calibri" w:hAnsi="Calibri"/>
          <w:b/>
          <w:color w:val="4A6B25"/>
          <w:sz w:val="20"/>
        </w:rPr>
        <w:t xml:space="preserve">3. </w:t>
      </w:r>
      <w:r>
        <w:rPr>
          <w:rFonts w:ascii="Calibri" w:hAnsi="Calibri"/>
          <w:b w:val="0"/>
          <w:color w:val="3A4A28"/>
          <w:sz w:val="20"/>
        </w:rPr>
        <w:t>Natural Gas and NGL Services segment growth — $2.4B growth capex with 90% directed at NGL processing capacity expansion to capture rising Permian and Appalachian Basin volumes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(D/E 180.1%, $26.2B total debt) creates refinancing risk in a higher-for-longer interest rate environment and limits financial flexibility [5]</w:t>
      </w:r>
    </w:p>
    <w:p>
      <w:pPr>
        <w:spacing w:before="40" w:after="40"/>
        <w:ind w:left="283"/>
      </w:pPr>
      <w:r>
        <w:rPr>
          <w:rFonts w:ascii="Calibri" w:hAnsi="Calibri"/>
          <w:b/>
          <w:color w:val="4A6B25"/>
          <w:sz w:val="20"/>
        </w:rPr>
        <w:t xml:space="preserve">2. </w:t>
      </w:r>
      <w:r>
        <w:rPr>
          <w:rFonts w:ascii="Calibri" w:hAnsi="Calibri"/>
          <w:b w:val="0"/>
          <w:color w:val="3A4A28"/>
          <w:sz w:val="20"/>
        </w:rPr>
        <w:t>Energy transition and regulatory risk — long-term demand uncertainty for fossil fuel infrastructure, plus pipeline permitting challenges and environmental opposition to expansion projects [3]</w:t>
      </w:r>
    </w:p>
    <w:p>
      <w:pPr>
        <w:spacing w:before="40" w:after="40"/>
        <w:ind w:left="283"/>
      </w:pPr>
      <w:r>
        <w:rPr>
          <w:rFonts w:ascii="Calibri" w:hAnsi="Calibri"/>
          <w:b/>
          <w:color w:val="4A6B25"/>
          <w:sz w:val="20"/>
        </w:rPr>
        <w:t xml:space="preserve">3. </w:t>
      </w:r>
      <w:r>
        <w:rPr>
          <w:rFonts w:ascii="Calibri" w:hAnsi="Calibri"/>
          <w:b w:val="0"/>
          <w:color w:val="3A4A28"/>
          <w:sz w:val="20"/>
        </w:rPr>
        <w:t>MPC general partner conflict — Marathon Petroleum's 64% economic interest could lead to decisions that prioritize refining operations over MPLX unitholder distributions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MPLX's core business — owning and operating physical midstream energy infrastructure (pipelines, processing plants, terminals, marine vessels) — is structurally immune to AI disruption. AI cannot replace pipelines, fractionation plants, or storage caverns. The business is further protected by regulatory requirements, long-term contracts, right-of-way assets that are nearly impossible to replicate, and the essential nature of natural gas and NGL transportation for the U.S. economy [1]. AI actually increases demand for MPLX's infrastructure: AI data centers require massive power generation, much of it natural gas-fired, which drives throughput volumes through MPLX's gathering and processing systems. The MARA Holdings partnership to develop 1.5 GW of gas-fired power for data centers directly monetizes this AI tailwind [2]. AI Opportunity (1/1): The MARA Holdings collaboration generates revenue by supplying natural gas for AI data center power generation, creating a direct linkage between AI demand growth and MPLX throughput volumes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MPLX LP Q4 2025 and Full Year 2025 Results — $12.0B revenue, $3.5B net income, $4.82 EPS, $4.31 annualized distribution, $7.0-$7.3B EBITDA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MPLX corporate and ainvest — MARA Holdings data center partnership (1.5 GW), leadership team, AI-driven operational initiatives</w:t>
      </w:r>
    </w:p>
    <w:p>
      <w:pPr>
        <w:spacing w:before="20" w:after="20"/>
        <w:ind w:left="170"/>
      </w:pPr>
      <w:r>
        <w:rPr>
          <w:rFonts w:ascii="Calibri" w:hAnsi="Calibri"/>
          <w:b/>
          <w:color w:val="4A6B25"/>
          <w:sz w:val="15"/>
        </w:rPr>
        <w:t xml:space="preserve">3. </w:t>
      </w:r>
      <w:r>
        <w:rPr>
          <w:rFonts w:ascii="Calibri" w:hAnsi="Calibri"/>
          <w:b w:val="0"/>
          <w:color w:val="3A4A28"/>
          <w:sz w:val="17"/>
        </w:rPr>
        <w:t>Morningstar and MPLX sustainability reports — ESG implications for midstream, methane reduction goals, indigenous community pipeline protests</w:t>
      </w:r>
    </w:p>
    <w:p>
      <w:pPr>
        <w:spacing w:before="20" w:after="20"/>
        <w:ind w:left="170"/>
      </w:pPr>
      <w:r>
        <w:rPr>
          <w:rFonts w:ascii="Calibri" w:hAnsi="Calibri"/>
          <w:b/>
          <w:color w:val="4A6B25"/>
          <w:sz w:val="15"/>
        </w:rPr>
        <w:t xml:space="preserve">4. </w:t>
      </w:r>
      <w:r>
        <w:rPr>
          <w:rFonts w:ascii="Calibri" w:hAnsi="Calibri"/>
          <w:b w:val="0"/>
          <w:color w:val="3A4A28"/>
          <w:sz w:val="17"/>
        </w:rPr>
        <w:t>Seeking Alpha — MPLX 12% distribution growth analysis, midstream sector outlook, coverage ratio assessment</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MPLX (MPLX LP),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