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MPT</w:t>
      </w:r>
      <w:r>
        <w:rPr>
          <w:rFonts w:ascii="Calibri" w:hAnsi="Calibri"/>
          <w:b/>
          <w:color w:val="1A2010"/>
          <w:sz w:val="40"/>
        </w:rPr>
        <w:t xml:space="preserve">  Medical Properties Trust, Inc.</w:t>
      </w:r>
    </w:p>
    <w:p>
      <w:pPr>
        <w:spacing w:after="120"/>
      </w:pPr>
      <w:r>
        <w:rPr>
          <w:rFonts w:ascii="Calibri" w:hAnsi="Calibri"/>
          <w:b/>
          <w:color w:val="6E8450"/>
          <w:sz w:val="18"/>
        </w:rPr>
        <w:t>DIVIDEND SLEEVE · 2026-03-28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Healthcare Facilities · NYSE · United States</w:t>
      </w:r>
    </w:p>
    <w:p>
      <w:pPr>
        <w:spacing w:after="80"/>
      </w:pPr>
      <w:r>
        <w:rPr>
          <w:rFonts w:ascii="Calibri" w:hAnsi="Calibri"/>
          <w:b w:val="0"/>
          <w:color w:val="3A4A28"/>
          <w:sz w:val="20"/>
        </w:rPr>
        <w:t>Medical Properties Trust is a self-advised REIT that acquires and develops net-leased hospital facilities. Founded in 2003 in Birmingham, Alabama, it owns 388 facilities with approximately 39,000 licensed beds in nine countries. MPT is the second-largest non-governmental owner of hospital beds in the U.S.</w:t>
      </w:r>
    </w:p>
    <w:p>
      <w:r>
        <w:rPr>
          <w:rFonts w:ascii="Calibri" w:hAnsi="Calibri"/>
          <w:b/>
          <w:color w:val="6E8450"/>
          <w:sz w:val="18"/>
        </w:rPr>
        <w:t>121 Employees · https://www.medicalpropertiestrust.com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MPT has not launched new products, pivoted its business model, or transformed in any meaningful way in the last five years. The sale-leaseback hospital financing model is identical to what the company has done since 2003 — and that model has produced catastrophic results with Steward Health Care's bankruptcy and $2.4B net loss in 2024 [3]. AI Deployment (0/2): No AI products, no AI-driven cost savings, no technology strategy beyond enabling hospital operators to fund their own technology upgrades. MPT is a 121-employee capital provider, not a technology company [2]. Market Share (1/2): MPT is the second-largest non-governmental owner of hospital beds in the U.S. with 388 facilities and 39,000 beds across nine countries — a meaningful position in hospital real estate [2]. Pipeline (0/2): No next-generation products or services announced. The company's pipeline consists of stabilizing existing tenant relationships and reaching $1B annualized rent by end of 2026 — operational recovery, not innovation [1]. R&amp;D Intensity (0/1): No R&amp;D spend; MPT is a financial vehicle for hospital real estate, not a technology or product company.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MPT's stated purpose — facilitating capital solutions for hospitals so operators can focus on patient care — is generic and reads as a financial justification for a sale-leaseback business model. Investigations by OCCRP, the Boston Globe, and U.S. Senators Warren and Markey have called the model exploitative, with the Steward relationship described as having 'all the appearances of a Ponzi scheme' [3]. The gap between stated mission and actual outcomes undermines any inspiration score. Community Impact (0/2): No evidence of distinctive charitable programs or community investment. The Steward bankruptcy resulted in hospital closures that harmed communities, directly contradicting MPT's stated healthcare mission [3]. Employee Retention (0/2): With only 121 employees, MPT has minimal organizational culture data available. No Glassdoor ratings, culture awards, or retention metrics found. Insider Buying (0/2): CEO Edward Aldag's compensation totaled approximately $70M from 2017-2021 ($16.4M annually), which is 137% above the median for similar-sized companies [2]. No evidence of meaningful insider buying; compensation structure is heavily stock-based but through grants, not open-market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MPT's financial profile is deeply distressed. The company posted net losses of $277M in 2025, $2.41B in 2024, and $556M in 2023 — three consecutive years of losses totaling $3.2B [4]. ROE is -5.85% and profit margin is -25.9%, both below floor values. D/E of 212.1% reflects elevated leverage for a REIT, with key debt maturities including €500M in October 2026 and $1.4B in October 2027 [1]. Revenue declined from $1.54B (2022) to $972M (2025), a 37% drop driven by Steward bankruptcy and tenant transitions. The dividend has been slashed from $1.16/year (2022) to $0.36/year (2025-2026 annualized pace), a 69% cut with 5-year CAGR of -21.1% [4]. Bright spots are limited to 20 consecutive years of dividend payments and a forward P/E of 33.6x. Liquidity floor cleared: 6.8M avg volume x $4.53 = $30.6M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Medical Properties Trust plays a deeply finite game. The company's model — buying hospital buildings at inflated prices, charging above-market rents, and lending money back to struggling tenants to pay those rents — is optimized for short-term revenue recognition, not enduring value creation. The Steward Health Care catastrophe, where MPT's largest tenant collapsed into bankruptcy with $9B in liabilities while MPT continued collecting inflated rents, is a textbook example of finite game thinking where all parties prioritize near-term extraction over long-term sustainability [3].</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MPT's stated cause — 'facilitating healthcare delivery in communities around the world' — has been directly contradicted by outcomes. The Steward bankruptcy led to hospital closures, unpaid employee wages ($290M), and community healthcare disruptions [3]. OCCRP investigations revealed MPT bought Steward properties at 9x market prices and charged 'exorbitant rents' the operator could not afford. Senators Warren and Markey described the relationship as resembling 'a Ponzi scheme' [3]. Whatever cause was articulated, the evidence shows a financial extraction model, not a healthcare mission.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MPT has 121 employees with CEO Aldag's 22-year tenure providing leadership stability [2]. The small team size suggests intimate working relationships. However, there is no employee sentiment data, no culture awards, and the company's governance has been questioned — OCCRP reported MPT worked behind the scenes to increase control over Steward without proper disclosure, potentially breaching REIT regulations [3]. The lack of organizational transparency undermines any trust narrative.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MPT management acknowledging competitors' strengths or framing competition as motivation for self-improvement. The company's competitive positioning is focused on being the 'largest' hospital owner and 'unique' capital provider rather than learning from healthier REIT models [2]. The finite competitive framing — emphasizing scale over quality — is evident in the aggressive acquisition strategy that prioritized deal volume over tenant creditworthiness.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MPT has clung rigidly to its sale-leaseback hospital financing model for 22 years, even as the model produced tenant bankruptcies (Steward, HSA default), massive impairments ($2.4B net loss in 2024), and regulatory scrutiny [3]. The company has shown no willingness to fundamentally rethink its approach despite overwhelming evidence that above-market rents strain hospital operators. Selling properties and transitioning operators is crisis management, not strategic flexibility.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MPT's leadership has consistently prioritized short-term rent collection over long-term tenant viability. The company loaned money back to Steward to cover rent payments rather than restructuring the relationship — Senators Warren and Markey described this as circular financing [3]. CEO Aldag's $70M in compensation (2017-2021) during a period when the stock lost 82% of its value shows misalignment between leadership incentives and shareholder outcomes [2]. The $150M share buyback authorization, while a positive signal, comes after $11.5B in lost market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The bull case for MPT rests on recovery and stabilization. The company beat Q4 2025 EPS estimates ($0.03 vs. forecast), reported normalized FFO of $0.58/share for full-year 2025, and targets $1B in annualized cash rent by end of 2026 [1]. The Steward relationship has been severed with properties transitioned to replacement operators, LifePoint and ScionHealth reported double-digit revenue growth and $200M+ EBITDARM increase, and the $150M share buyback signals management confidence [1]. At $4.53 with a 7.95% dividend yield and 388 facilities globally, the stock is priced for significant distress — any normalization of tenant operations could drive material upside from current levels. The international portfolio (particularly Germany) provides geographic diversification away from U.S. tenant risks.</w:t>
      </w:r>
    </w:p>
    <w:p>
      <w:pPr>
        <w:spacing w:after="120"/>
      </w:pPr>
      <w:r>
        <w:rPr>
          <w:rFonts w:ascii="Calibri" w:hAnsi="Calibri"/>
          <w:b w:val="0"/>
          <w:color w:val="3A4A28"/>
          <w:sz w:val="20"/>
        </w:rPr>
        <w:t>The bear case is severe and well-documented. MPT has posted $3.2B in cumulative net losses over three years (2023-2025), the stock has fallen 82% from its 2021 peak of $23.63, and the dividend has been cut 69% from $1.16 to $0.36 annually [4]. The Steward bankruptcy exposed fundamental flaws in MPT's business model — above-market purchase prices, circular financing, and inadequate tenant underwriting — flaws that persist with replacement tenant HSA defaulting in February 2025 [3]. Key debt maturities of €500M (October 2026) and $1.4B (October 2027) create refinancing risk in a stressed balance sheet with 212% D/E [1]. Activist short sellers (Viceroy Research, Bear Cave) continue to flag tenant liquidity risks and revenue round-tripping concerns. Massachusetts has passed legislation limiting REIT hospital ownership, creating regulatory precedent risk [3]. CEO compensation of $16.4M annually while shareholders lost $11.5B raises serious governance concerns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Annualized cash rent reaching $1B target by end of 2026 as recently transitioned tenants ramp to 100% contractual rent, particularly Noor beginning partial rent in June 2026 [1]</w:t>
      </w:r>
    </w:p>
    <w:p>
      <w:pPr>
        <w:spacing w:before="40" w:after="40"/>
        <w:ind w:left="283"/>
      </w:pPr>
      <w:r>
        <w:rPr>
          <w:rFonts w:ascii="Calibri" w:hAnsi="Calibri"/>
          <w:b/>
          <w:color w:val="4A6B25"/>
          <w:sz w:val="20"/>
        </w:rPr>
        <w:t xml:space="preserve">2. </w:t>
      </w:r>
      <w:r>
        <w:rPr>
          <w:rFonts w:ascii="Calibri" w:hAnsi="Calibri"/>
          <w:b w:val="0"/>
          <w:color w:val="3A4A28"/>
          <w:sz w:val="20"/>
        </w:rPr>
        <w:t>LifePoint and ScionHealth reporting double-digit revenue growth with $200M+ EBITDARM improvement, demonstrating replacement operator viability [1]</w:t>
      </w:r>
    </w:p>
    <w:p>
      <w:pPr>
        <w:spacing w:before="40" w:after="40"/>
        <w:ind w:left="283"/>
      </w:pPr>
      <w:r>
        <w:rPr>
          <w:rFonts w:ascii="Calibri" w:hAnsi="Calibri"/>
          <w:b/>
          <w:color w:val="4A6B25"/>
          <w:sz w:val="20"/>
        </w:rPr>
        <w:t xml:space="preserve">3. </w:t>
      </w:r>
      <w:r>
        <w:rPr>
          <w:rFonts w:ascii="Calibri" w:hAnsi="Calibri"/>
          <w:b w:val="0"/>
          <w:color w:val="3A4A28"/>
          <w:sz w:val="20"/>
        </w:rPr>
        <w:t>$150M share buyback program execution at deeply depressed valuations, with board signaling confidence in recovery trajectory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Replacement tenant default risk — HSA received default notice in February 2025 while paying only 50% of contractual rent, repeating the Steward pattern of tenant distress [3]</w:t>
      </w:r>
    </w:p>
    <w:p>
      <w:pPr>
        <w:spacing w:before="40" w:after="40"/>
        <w:ind w:left="283"/>
      </w:pPr>
      <w:r>
        <w:rPr>
          <w:rFonts w:ascii="Calibri" w:hAnsi="Calibri"/>
          <w:b/>
          <w:color w:val="4A6B25"/>
          <w:sz w:val="20"/>
        </w:rPr>
        <w:t xml:space="preserve">2. </w:t>
      </w:r>
      <w:r>
        <w:rPr>
          <w:rFonts w:ascii="Calibri" w:hAnsi="Calibri"/>
          <w:b w:val="0"/>
          <w:color w:val="3A4A28"/>
          <w:sz w:val="20"/>
        </w:rPr>
        <w:t>Critical debt maturities of €500M (October 2026) and $1.4B (October 2027) require refinancing at elevated leverage of 212% D/E during a period of negative profitability [1]</w:t>
      </w:r>
    </w:p>
    <w:p>
      <w:pPr>
        <w:spacing w:before="40" w:after="40"/>
        <w:ind w:left="283"/>
      </w:pPr>
      <w:r>
        <w:rPr>
          <w:rFonts w:ascii="Calibri" w:hAnsi="Calibri"/>
          <w:b/>
          <w:color w:val="4A6B25"/>
          <w:sz w:val="20"/>
        </w:rPr>
        <w:t xml:space="preserve">3. </w:t>
      </w:r>
      <w:r>
        <w:rPr>
          <w:rFonts w:ascii="Calibri" w:hAnsi="Calibri"/>
          <w:b w:val="0"/>
          <w:color w:val="3A4A28"/>
          <w:sz w:val="20"/>
        </w:rPr>
        <w:t>Ongoing short seller scrutiny (Viceroy Research 21 reports, Bear Cave March 2026 report) alleging revenue round-tripping and tenant liquidity risks, with Massachusetts legislative precedent restricting REIT hospital ownership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Hospital real estate is structurally immune to AI disruption. Physical hospital buildings, operating rooms, and patient beds cannot be replaced by software. Healthcare delivery requires in-person facilities, and AI actually increases demand for specialized hospital infrastructure as AI-assisted diagnostics and robotic surgery require physical space and equipment [2]. The net-lease REIT model — collecting rent from hospital operators — has zero AI substitution risk. MPT's problems are operational and tenant-related, not technology-driven. AI Opportunity (0/1): MPT generates no revenue from AI products or services. The company is a passive real estate owner with 121 employees; technology innovation occurs at the operator level, not at MPT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Medical Properties Trust Q4 2025 Earnings Call — $270.3M revenue, $0.18 normalized FFO, $1B annualized rent target, February 2026</w:t>
      </w:r>
    </w:p>
    <w:p>
      <w:pPr>
        <w:spacing w:before="20" w:after="20"/>
        <w:ind w:left="170"/>
      </w:pPr>
      <w:r>
        <w:rPr>
          <w:rFonts w:ascii="Calibri" w:hAnsi="Calibri"/>
          <w:b/>
          <w:color w:val="4A6B25"/>
          <w:sz w:val="15"/>
        </w:rPr>
        <w:t xml:space="preserve">2. </w:t>
      </w:r>
      <w:r>
        <w:rPr>
          <w:rFonts w:ascii="Calibri" w:hAnsi="Calibri"/>
          <w:b w:val="0"/>
          <w:color w:val="3A4A28"/>
          <w:sz w:val="17"/>
        </w:rPr>
        <w:t>Simply Wall St, Motley Fool, Nareit — CEO Aldag profile, $16.4M compensation, 388 facilities, hospital REIT model analysis, 2025-2026</w:t>
      </w:r>
    </w:p>
    <w:p>
      <w:pPr>
        <w:spacing w:before="20" w:after="20"/>
        <w:ind w:left="170"/>
      </w:pPr>
      <w:r>
        <w:rPr>
          <w:rFonts w:ascii="Calibri" w:hAnsi="Calibri"/>
          <w:b/>
          <w:color w:val="4A6B25"/>
          <w:sz w:val="15"/>
        </w:rPr>
        <w:t xml:space="preserve">3. </w:t>
      </w:r>
      <w:r>
        <w:rPr>
          <w:rFonts w:ascii="Calibri" w:hAnsi="Calibri"/>
          <w:b w:val="0"/>
          <w:color w:val="3A4A28"/>
          <w:sz w:val="17"/>
        </w:rPr>
        <w:t>OCCRP, Boston Globe, Bear Cave, Senators Warren &amp; Markey — Steward Health bankruptcy ($9B liabilities), sale-leaseback criticism, HSA default, governance concerns, 2024-2026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MPT (Medical Properties Trust), retrieved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