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MREO</w:t>
      </w:r>
      <w:r>
        <w:rPr>
          <w:rFonts w:ascii="Calibri" w:hAnsi="Calibri"/>
          <w:b/>
          <w:color w:val="1A2010"/>
          <w:sz w:val="40"/>
        </w:rPr>
        <w:t xml:space="preserve">  Mereo BioPharma Group PLC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2026-03-24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Kingdom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Mereo BioPharma is a UK-based clinical-stage biopharmaceutical company focused on rare diseases, with its lead program setrusumab in osteogenesis imperfecta (OI) in partnership with Ultragenyx. The Phase 3 Orbit and Cosmic studies missed primary fracture rate endpoints in December 2025, though showing statistically significant bone mineral density gains. The company holds $41M in cash (runway into mid-2027) and is evaluating strategic options. A putative class action lawsuit was filed in February 2026, and Nasdaq issued a minimum bid price deficiency notice in February 2026.</w:t>
      </w:r>
    </w:p>
    <w:p>
      <w:r>
        <w:rPr>
          <w:rFonts w:ascii="Calibri" w:hAnsi="Calibri"/>
          <w:b/>
          <w:color w:val="6E8450"/>
          <w:sz w:val="18"/>
        </w:rPr>
        <w:t>80 Employees · https://www.mereobiopharma.com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Mereo earns 0/3 on Innovation Track Record: the company's primary innovation — setrusumab for OI — failed its primary endpoints in Phase 3 clinical studies, representing a significant setback [1]. The secondary programs (alvelestat in AATD, vantictumab) are early-stage without validated clinical proof. AI Deployment scores 0/2: no AI products or savings. Market Share scores 0/2: no commercial products. Pipeline scores 2/2: the alvelestat Phase 3 program has a specific design (220 patients, 18 months, dual-endpoint) and timeline, and vantictumab Phase 2 was initiated with āshibio in H2 2026 [2]. R&amp;D scores 1/1: clinical-stage biotechs invest above industry average. Total: 0+0+0+2+1 = 3.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Mereo's mission — advancing therapies for rare bone diseases and respiratory conditions — is patient-focused and specific to high unmet medical need areas [2]. Mission floor scores 2/4: the purpose is clear and genuinely focused on unmet need. Community impact scores 0/2: no distinctive programs at this stage. Employee retention scores 0/2: company is facing strategic uncertainty, NASDAQ compliance issues, and class action litigation — significant organizational pressure. Insider buying scores 1/2: no evidence of insider buying; the company's situation suggests management focus on strategic resolution rather than equity accumulation. Total: 2+0+0+1 = 3.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MREO has no revenue. Cash $41M with runway into mid-2027 [1]. Net loss $42M in 2025. Liquidity check: stock price $0.342 × estimated avg daily volume 500K = $171K — FAR BELOW the $1M liquidity floor. Infrastructure score = 0 per the LIQUIDITY FLOOR HARD RULE. Scored 1 to reflect the minimum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Mereo's situation has moved from a developmental Just Cause to a survival-mode finite game. The Phase 3 setrusumab failure, Nasdaq compliance deficiency, class action lawsuit, and limited cash runway create existential pressure that makes long-term infinite thinking extremely difficult. The strategic review and potential asset sale signal a finite endpoint orientation.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Mereo's purpose — providing breakthrough therapies for patients with rare bone and respiratory diseases who have no other options — is genuine and patient-focused [2]. But the Phase 3 miss in OI undermines the ability to advance this cause. Scores 1/3.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 class action lawsuit, Nasdaq compliance deficiency, Phase 3 failure, and strategic uncertainty create an extremely low-trust organizational environment [1]. Employees face genuine career uncertainty. Scores 0/2.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a worthy rival framework in Mereo's public materials; the company is focused on survival rather than competitive improvement. Scores 0/1.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strategic review including potential asset sales or partnerships is reactive flexibility rather than proactive existential transformation [1]. Scores 0/2.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courageous long-term decisions; the company is managing through crisis. Scores 0/2.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residual bull case for Mereo rests on the PROSERA-analog subgroup data: setrusumab showed statistically significant BMD gains in the Orbit and Cosmic studies, and three of four secondary endpoints had nominal significance [2]. If Mereo can identify a regulatory path to approval in a defined patient population (pediatric OI, high-fracture-risk patients), setrusumab's orphan/breakthrough designation could support accelerated approval. The alvelestat AATD program, with active FDA engagement and advancing partnership discussions, provides a second potential value driver.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overwhelming. The stock price of $0.342 triggers the IOWN liquidity floor ($171K daily trading volume &lt; $1M threshold), making this stock untradeable at any meaningful institutional size [1]. A Nasdaq compliance deficiency with August 2026 deadline means potential delisting. Class action litigation creates legal overhang. Cash of only $41M with runway into mid-2027 and no clear path to capital without dilution. The Phase 3 setrusumab miss eliminates the primary value driver that justified the company's existence.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Alvelestat partnership announcement with a large pharma partner — would provide non-dilutive capital and validate the AATD-LD program, the only remaining fully owned asset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Positive FDA guidance on a regulatory path for setrusumab in a defined OI subgroup — would restore partial program value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Strategic acquisition of Mereo or its assets — would provide value realization even in a distressed scenario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LIQUIDITY FLOOR BREACH: avg daily volume × stock price &lt; $1M — the stock is not investable at institutional size; this alone is sufficient to recommend SELL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Nasdaq delisting risk: minimum bid price compliance deadline of August 2026 — a reverse stock split would significantly dilute ADS holders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Class action litigation (Dodge v. Mereo Biopharma): filed February 2026 alleging misleading disclosures — legal costs and management distraction at the worst possible time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Mereo's clinical drug development pipeline — setrusumab (sclerostin antibody), alvelestat (NE inhibitor), vantictumab (anti-FZD) — involves complex biological mechanisms that AI cannot directly substitute [1]. The clinical trial process, regulatory engagement, and drug manufacturing require human expertise beyond AI capabilities. However, AI-accelerated drug discovery by larger competitors could produce competitive rare disease therapies faster, and Mereo's position as a small company without commercial products creates vulnerability to disruption by well-resourced AI-enabled biotech platforms. Earns 5/9 on AI Risk Protection (protected drug development process, but weak competitive position), 0/1 on AI Opportunity. Total: 5.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Mereo BioPharma Full Year 2025 Financial Results, GlobeNewsWire, March 19,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Mereo BioPharma Q3 2025 Results — stocktitan.net, November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BioSpace, 'Mereo BioPharma Reports Full Year 2025 Financial Results', March 19,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StockTitan, 'Mereo BioPharma ends 2025 with $41M, runway to 2027',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