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MRK</w:t>
      </w:r>
      <w:r>
        <w:rPr>
          <w:rFonts w:ascii="Calibri" w:hAnsi="Calibri"/>
          <w:b/>
          <w:color w:val="1A2010"/>
          <w:sz w:val="40"/>
        </w:rPr>
        <w:t xml:space="preserve">  Merck &amp; Co., Inc.</w:t>
      </w:r>
    </w:p>
    <w:p>
      <w:pPr>
        <w:spacing w:after="120"/>
      </w:pPr>
      <w:r>
        <w:rPr>
          <w:rFonts w:ascii="Calibri" w:hAnsi="Calibri"/>
          <w:b/>
          <w:color w:val="6E8450"/>
          <w:sz w:val="18"/>
        </w:rPr>
        <w:t>DIVIDEND SLEEVE · 2026-03-24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Merck &amp; Co., Inc. is one of the world's largest pharmaceutical companies, best known for Keytruda (pembrolizumab), the world's best-selling cancer drug with $29.5B in 2024 sales and projected peak of $32.7B in 2026. The company is managing Keytruda's 2028 patent cliff through pipeline expansion including ADC partnerships with Daiichi Sankyo, Winrevair for PAH, and a targeted $3B cost reduction program.</w:t>
      </w:r>
    </w:p>
    <w:p>
      <w:r>
        <w:rPr>
          <w:rFonts w:ascii="Calibri" w:hAnsi="Calibri"/>
          <w:b/>
          <w:color w:val="6E8450"/>
          <w:sz w:val="18"/>
        </w:rPr>
        <w:t>68,000 Employees · https://www.merck.com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Merck has tripled its Phase III pipeline since 2021 through internal development and acquisitions (Verona Pharma, Cidara, Acceleron, Prometheus) — earning 3 points on Innovation Track Record for this transformative pipeline build[1]. AI drug design is emerging: Daiichi Sankyo ADC partnerships include molecules designed with AI tools, and Merck has AI-powered R&amp;D platforms — earning 1 point for AI deployment with some measurable application. Merck holds global category leadership in immuno-oncology (Keytruda is the world's best-selling cancer drug) — earning 2 points. Pipeline is highly specific: 20+ new vaccines and drugs targeting launch in the next few years with named assets and $70B+ in identified annual opportunities — earning 1 point. R&amp;D spending intensity is above pharmaceutical industry average — scoring 0 (score already maxed at 7).</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Merck's mission of 'saving and improving lives' through medicine is a clear pharmaceutical purpose — scoring 2 on mission floor. Merck's patient access programs, global vaccine programs, and Mectizan (ivermectin) donation for river blindness reflect meaningful community health impact — scoring 2. Employee tenure at Merck's core R&amp;D operations is stable with high-value scientific talent retained, though recent restructuring programs create some churn — scoring 0. No significant net insider buying found — scoring 1 for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Merck reported FY2025 revenue of $65.01B (+1.3% YoY) with ROE of 36.88%, profit margin of ~15% (estimated), D/E of 0.96, and a trailing P/E of 15.86[1]. Dividend yield is approximately 3.2% with a long payment history and consistent growth. Q4 2025 EPS of $2.04 beat expectations. Revenue growth has decelerated to 1.31% from prior mid-to-high single digits as Keytruda growth offsets other product declines. 2026 guidance is $65.5-67B revenue (+1-3%). Liquidity floor: well above $1M. Post-Keytruda patent cliff risk is the key long-term concern.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Merck has been a pharmaceutical innovator for 130+ years, demonstrating genuine long-term mission consistency through decades of vaccine development, oncology investment, and global health programs. The Keytruda franchise required over 10 years of sustained investment in immuno-oncology before becoming the world's best-selling drug — a classic infinite game patience story. The challenge now is whether management has the courage to invest through the 2028 patent cliff rather than optimizing earnings.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Merck's purpose of 'saving and improving lives' has been validated by decades of breakthrough medicines — Mectizan (river blindness), HPV vaccines (Gardasil), Keytruda for cancer, and now Winrevair for pulmonary arterial hypertension. The company's decision to donate Mectizan indefinitely for river blindness elimination programs demonstrates mission over profit at significant scale. Sinek would cite this as the type of Just Cause validated by sacrifice. Scores 3 points: cause validated by decades of execution including costly principled commitments.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Merck's scientific talent retention is exceptional — its oncology R&amp;D teams have built and sustained the world's most successful cancer franchise over 30 years. The Rahway, NJ campus and global research network reflect institutional knowledge retention. Leadership transition from Roger Perlmutter to Dean Li to Robert Davis has been smooth. Scores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Merck's Keytruda strategy was developed in explicit response to Bristol Myers Squibb's Opdivo — learning from BMS's initial head start in PD-1 inhibitors and ultimately overtaking it through trial design excellence and indication expansion. Management consistently frames competition as motivation to improve.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Merck tripled its Phase III pipeline since 2021 through strategic acquisitions, ADC partnerships, and internal pipeline investment — a meaningful strategic expansion beyond Keytruda dependency. The $3B cost reduction program to fund pipeline investment during the patent cliff shows adaptation.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$3B cost-cutting commitment to reinvest in pipeline development despite near-term revenue pressure from Keytruda's anticipated post-2028 biosimilar competition demonstrates strategic discipline over short-term earnings. The Daiichi Sankyo ADC partnership investments required significant upfront payments with long development timelines.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Merck is a best-in-class pharmaceutical franchise at a reasonable valuation: 36.88% ROE, $65B in revenue, 14.5%+ consecutive years of dividend growth, and a 15.86x trailing P/E[1]. Keytruda will reach peak sales of ~$32.7B in 2026 before patent erosion, providing extraordinary cash generation to fund pipeline building. The company has identified $70B+ in annual revenue opportunities from 20+ next-generation drugs across oncology ($25B), cardiometabolic ($20B), and infectious diseases ($15B). Winrevair alone generated $1.4B in its first full year, validating pipeline quality.</w:t>
      </w:r>
    </w:p>
    <w:p>
      <w:pPr>
        <w:spacing w:after="120"/>
      </w:pPr>
      <w:r>
        <w:rPr>
          <w:rFonts w:ascii="Calibri" w:hAnsi="Calibri"/>
          <w:b w:val="0"/>
          <w:color w:val="3A4A28"/>
          <w:sz w:val="20"/>
        </w:rPr>
        <w:t>The central bear case is the Keytruda patent cliff: IV formulation patents expire in 2028, and without successful lifecycle management and pipeline execution, Merck could face $15-20B+ in revenue erosion within 3-5 years after 2028[1]. The subcutaneous Keytruda reformulation and combination therapy expansion mitigate but don't eliminate this risk. Forward P/E of 22.55x prices in significant pipeline success that may not materialize at the scale needed. Q1 2026 EPS is projected to be -$1.49, reflecting anticipated charges. Revenue growth deceleration to 1.31% in FY2025 from mid-single digits previously signals the transition year has begun.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Keytruda subcutaneous formulation FDA approval and rapid uptake shift from IV to SC administration, extending effective patent protection beyond 2028 and reducing biosimilar competition risk from the primary revenue source</w:t>
      </w:r>
    </w:p>
    <w:p>
      <w:pPr>
        <w:spacing w:before="40" w:after="40"/>
        <w:ind w:left="283"/>
      </w:pPr>
      <w:r>
        <w:rPr>
          <w:rFonts w:ascii="Calibri" w:hAnsi="Calibri"/>
          <w:b/>
          <w:color w:val="4A6B25"/>
          <w:sz w:val="20"/>
        </w:rPr>
        <w:t xml:space="preserve">2. </w:t>
      </w:r>
      <w:r>
        <w:rPr>
          <w:rFonts w:ascii="Calibri" w:hAnsi="Calibri"/>
          <w:b w:val="0"/>
          <w:color w:val="3A4A28"/>
          <w:sz w:val="20"/>
        </w:rPr>
        <w:t>Daiichi Sankyo ADC approvals — patritumab deruxtecan and ifinatamab deruxtecan represent potential multi-billion-dollar blockbusters in lung cancer that would significantly offset Keytruda patent cliff losses</w:t>
      </w:r>
    </w:p>
    <w:p>
      <w:pPr>
        <w:spacing w:before="40" w:after="40"/>
        <w:ind w:left="283"/>
      </w:pPr>
      <w:r>
        <w:rPr>
          <w:rFonts w:ascii="Calibri" w:hAnsi="Calibri"/>
          <w:b/>
          <w:color w:val="4A6B25"/>
          <w:sz w:val="20"/>
        </w:rPr>
        <w:t xml:space="preserve">3. </w:t>
      </w:r>
      <w:r>
        <w:rPr>
          <w:rFonts w:ascii="Calibri" w:hAnsi="Calibri"/>
          <w:b w:val="0"/>
          <w:color w:val="3A4A28"/>
          <w:sz w:val="20"/>
        </w:rPr>
        <w:t>Winrevair continued market penetration in pulmonary arterial hypertension — at $1.4B in first-year sales, successful expansion into additional PAH patient segments could make this a $3-5B peak revenue asset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Keytruda biosimilar entry post-2028 causing faster-than-expected revenue erosion — if biosimilar competition captures 50% of market share within 2 years of entry (common in EU markets), Merck faces a $15B+ revenue gap that even the full pipeline may not close by 2030</w:t>
      </w:r>
    </w:p>
    <w:p>
      <w:pPr>
        <w:spacing w:before="40" w:after="40"/>
        <w:ind w:left="283"/>
      </w:pPr>
      <w:r>
        <w:rPr>
          <w:rFonts w:ascii="Calibri" w:hAnsi="Calibri"/>
          <w:b/>
          <w:color w:val="4A6B25"/>
          <w:sz w:val="20"/>
        </w:rPr>
        <w:t xml:space="preserve">2. </w:t>
      </w:r>
      <w:r>
        <w:rPr>
          <w:rFonts w:ascii="Calibri" w:hAnsi="Calibri"/>
          <w:b w:val="0"/>
          <w:color w:val="3A4A28"/>
          <w:sz w:val="20"/>
        </w:rPr>
        <w:t>Pipeline clinical failures — Merck's $70B opportunity depends on 20+ clinical programs succeeding; a pattern of Phase III failures (as seen with some mRNA vaccine candidates) would dramatically compress the post-Keytruda growth outlook</w:t>
      </w:r>
    </w:p>
    <w:p>
      <w:pPr>
        <w:spacing w:before="40" w:after="40"/>
        <w:ind w:left="283"/>
      </w:pPr>
      <w:r>
        <w:rPr>
          <w:rFonts w:ascii="Calibri" w:hAnsi="Calibri"/>
          <w:b/>
          <w:color w:val="4A6B25"/>
          <w:sz w:val="20"/>
        </w:rPr>
        <w:t xml:space="preserve">3. </w:t>
      </w:r>
      <w:r>
        <w:rPr>
          <w:rFonts w:ascii="Calibri" w:hAnsi="Calibri"/>
          <w:b w:val="0"/>
          <w:color w:val="3A4A28"/>
          <w:sz w:val="20"/>
        </w:rPr>
        <w:t>IRA Inflation Reduction Act drug pricing negotiations — Merck's Januvia (diabetes) is already under IRA price cuts, and future inclusion of Keytruda or Winrevair in IRA pricing would reduce profitability of the key growth drivers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Pharmaceutical drug development — Merck's core business — requires FDA approval, clinical trial data, and complex biochemistry that AI cannot replace with currently available tools[1]. However, AI drug discovery is creating structural disruption in the industry: faster lead identification, protein structure prediction (AlphaFold), and AI-designed molecules (like some of the Daiichi Sankyo ADC partnership candidates) could eventually compress Merck's R&amp;D productivity advantage. The most immediate AI risk is cost pressure: AI improves research efficiency across all players, potentially reducing the barrier for smaller biotech to compete with Merck's pipeline. Merck is deploying AI in its own R&amp;D and manufacturing — earning the tiebreaker point. Scores 6 on AI Risk Protection and 1 for documented AI deployment in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Merck &amp; Co., 'Fourth-Quarter 2025 Sales and Earnings', merck.com, February 2026</w:t>
      </w:r>
    </w:p>
    <w:p>
      <w:pPr>
        <w:spacing w:before="20" w:after="20"/>
        <w:ind w:left="170"/>
      </w:pPr>
      <w:r>
        <w:rPr>
          <w:rFonts w:ascii="Calibri" w:hAnsi="Calibri"/>
          <w:b/>
          <w:color w:val="4A6B25"/>
          <w:sz w:val="15"/>
        </w:rPr>
        <w:t xml:space="preserve">2. </w:t>
      </w:r>
      <w:r>
        <w:rPr>
          <w:rFonts w:ascii="Calibri" w:hAnsi="Calibri"/>
          <w:b w:val="0"/>
          <w:color w:val="3A4A28"/>
          <w:sz w:val="17"/>
        </w:rPr>
        <w:t>SyneticX, 'Merck 2026 Outlook: Keytruda Patent Cliff, Pipeline Strategy', 2026</w:t>
      </w:r>
    </w:p>
    <w:p>
      <w:pPr>
        <w:spacing w:before="20" w:after="20"/>
        <w:ind w:left="170"/>
      </w:pPr>
      <w:r>
        <w:rPr>
          <w:rFonts w:ascii="Calibri" w:hAnsi="Calibri"/>
          <w:b/>
          <w:color w:val="4A6B25"/>
          <w:sz w:val="15"/>
        </w:rPr>
        <w:t xml:space="preserve">3. </w:t>
      </w:r>
      <w:r>
        <w:rPr>
          <w:rFonts w:ascii="Calibri" w:hAnsi="Calibri"/>
          <w:b w:val="0"/>
          <w:color w:val="3A4A28"/>
          <w:sz w:val="17"/>
        </w:rPr>
        <w:t>PharmExec, 'JP Morgan 2026 Preview: Merck Prepares for the Patent Cliff', January 2026</w:t>
      </w:r>
    </w:p>
    <w:p>
      <w:pPr>
        <w:spacing w:before="20" w:after="20"/>
        <w:ind w:left="170"/>
      </w:pPr>
      <w:r>
        <w:rPr>
          <w:rFonts w:ascii="Calibri" w:hAnsi="Calibri"/>
          <w:b/>
          <w:color w:val="4A6B25"/>
          <w:sz w:val="15"/>
        </w:rPr>
        <w:t xml:space="preserve">4. </w:t>
      </w:r>
      <w:r>
        <w:rPr>
          <w:rFonts w:ascii="Calibri" w:hAnsi="Calibri"/>
          <w:b w:val="0"/>
          <w:color w:val="3A4A28"/>
          <w:sz w:val="17"/>
        </w:rPr>
        <w:t>Fierce Pharma, 'Merck confident in post-Keytruda future, $70B+ opportunity',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'Merck &amp; Co., Inc. (MRK) Valuation Measures',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