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MRNO</w:t>
      </w:r>
      <w:r>
        <w:rPr>
          <w:rFonts w:ascii="Calibri" w:hAnsi="Calibri"/>
          <w:b/>
          <w:color w:val="1A2010"/>
          <w:sz w:val="40"/>
        </w:rPr>
        <w:t xml:space="preserve">  Murano Global Investments Plc</w:t>
      </w:r>
    </w:p>
    <w:p>
      <w:pPr>
        <w:spacing w:after="120"/>
      </w:pPr>
      <w:r>
        <w:rPr>
          <w:rFonts w:ascii="Calibri" w:hAnsi="Calibri"/>
          <w:b/>
          <w:color w:val="6E8450"/>
          <w:sz w:val="18"/>
        </w:rPr>
        <w:t>GROWTH SLEEVE · 2026-04-01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 Development · NASDAQ · United Kingdom</w:t>
      </w:r>
    </w:p>
    <w:p>
      <w:pPr>
        <w:spacing w:after="80"/>
      </w:pPr>
      <w:r>
        <w:rPr>
          <w:rFonts w:ascii="Calibri" w:hAnsi="Calibri"/>
          <w:b w:val="0"/>
          <w:color w:val="3A4A28"/>
          <w:sz w:val="20"/>
        </w:rPr>
        <w:t>Murano Global Investments Plc is a real estate development company that owns, develops, and invests in luxury hotel, resort, and commercial properties in Mexico. Its portfolio includes Hotel Andaz (Hyatt) and Hotel Mondrian (Accor) in Mexico City, plus luxury resort projects in Cancun under Hyatt's Vivid and Dreams brands and a project in Baja. Founded in 1996 by Elias Sacal Cababie.</w:t>
      </w:r>
    </w:p>
    <w:p>
      <w:r>
        <w:rPr>
          <w:rFonts w:ascii="Calibri" w:hAnsi="Calibri"/>
          <w:b/>
          <w:color w:val="6E8450"/>
          <w:sz w:val="18"/>
        </w:rPr>
        <w:t>1,088 Employees · https://www.murano.com.mx/en/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Murano completed its SPAC merger with HCM Acquisition Corp in March 2024, transitioning from private to public company — a meaningful business model transformation, and revenue grew 172% YoY to 1.2B MXN driven by hotel openings [1]. However, the company has destroyed significant value since listing, with the stock declining 96% from $12.24 to $0.40. AI Deployment (0/2): No evidence of AI deployment in hotel operations, property development, or guest services [2]. Market Share (1/2): Murano operates distinctive luxury properties in Mexico City (Andaz, Mondrian) with partnerships with Hyatt and Accor, establishing a niche position in Mexico's luxury hospitality market [1]. Pipeline (1/2): The Grand Island I hotel project in Cancun (Hyatt Vivid and Dreams brands) and Baja project provide visible pipeline, though timelines and revenue projections are unclear given the company's financial distress [1]. R&amp;D Intensity (0/1): Real estate development does not invest in R&amp;D; no evidence of innovation in construction methods or property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Murano's website focuses on showcasing its luxury property portfolio without articulating a broader mission or purpose beyond developing premium hospitality assets — a generic real estate developer positioning [2]. Community Impact (0/2): No evidence of charitable programs, community investment, or foundation activity. The company employs 1,088 people in Mexico, primarily in hotel operations [2]. Employee Retention (0/2): No retention data available; the management team has an average tenure of only 1.2 years, and the interim CFO title suggests organizational instability [2]. Insider Buying (1/2): CEO Elias Sacal Cababie holds 98.3% insider ownership, demonstrating extreme personal alignment, though this also raises governance concerns about minority shareholder rights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Murano's revenue growth is impressive (23.9% YoY in Q3 2025, 172% TTM) as hotel properties ramp up occupancy, but profitability is deeply negative with -163.6% profit margin and -35.4% ROE reflecting massive development-stage losses of -1.96B MXN [1][4]. D/E of 209.2% is elevated, with total debt of 10.9B MXN (approximately $550M) against a $32M market cap — severely overleveraged. Current ratio of 0.08 indicates extreme near-term liquidity stress. No forward P/E is available as the company is pre-profit. The July 2025 Bitcoin treasury initiative announcement further eroded investor confidence [3]. Liquidity floor passes marginally: 4.7M avg vol x $0.40 = $1.9M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Murano exhibits classic finite game behavior — a SPAC-listed company with 98.3% insider ownership, an interim CFO, a Bitcoin treasury pivot, and a stock that has declined 96% since listing. The company appears to prioritize the founder's real estate development ambitions over long-term public shareholder value creation, with governance structures that concentrate control rather than build enduring institutional capability.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Murano has no articulated just cause beyond developing luxury properties. The company's communications focus on asset descriptions and financial metrics without any vision of a better future or broader societal contribution [2]. The SPAC listing and Bitcoin treasury initiative suggest opportunistic capital market plays rather than purpose-driven strategy.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management team has an average tenure of 1.2 years, the CFO role is filled on an interim basis, and the company went public only in March 2024 [2]. With 98.3% insider ownership, minority shareholders have essentially no governance voice. The organizational structure appears to be a family-controlled enterprise (founder Sacal Cababie with son Marcos Sacal Cohen as COO) rather than a professionally managed public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Murano acknowledging competitive dynamics or learning from rival luxury developers. The company operates in Mexico's luxury hospitality niche without publicly positioning itself against international hotel developers or REITs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Murano's pivot to a Bitcoin treasury initiative in July 2025 represents reactionary trend-chasing rather than genuine existential flexibility driven by a just cause [3]. The company has not demonstrated strategic adaptation beyond following the MicroStrategy playbook, and this pivot actually eroded market confidence.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Elias Sacal Cababie has invested his own capital substantially (98.3% insider ownership) and committed to multi-year luxury development projects in Mexico that require significant upfront investment before revenue generation [2]. The Cancun Grand Island and Baja projects represent bold long-term bets on Mexico's luxury tourism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Murano Global offers extreme deep value at $0.40 per share against a book value of $3.62, representing an 89% discount to NAV [4]. Revenue grew 172% YoY to 1.2B MXN as Hotel Andaz and Mondrian Mexico City ramp occupancy, and the Cancun Grand Island project with Hyatt could be transformative if completed [1]. The 98.3% insider ownership means founder Sacal Cababie's personal wealth is entirely tied to the company's success. Mexico's luxury tourism market is growing, and Murano's partnerships with Hyatt and Accor provide brand credibility for its properties.</w:t>
      </w:r>
    </w:p>
    <w:p>
      <w:pPr>
        <w:spacing w:after="120"/>
      </w:pPr>
      <w:r>
        <w:rPr>
          <w:rFonts w:ascii="Calibri" w:hAnsi="Calibri"/>
          <w:b w:val="0"/>
          <w:color w:val="3A4A28"/>
          <w:sz w:val="20"/>
        </w:rPr>
        <w:t>The bear case dominates: MRNO has declined 96% since listing one year ago, net losses of 1.96B MXN ($100M) dwarf the $32M market cap, and D/E of 209% with a current ratio of 0.08 creates existential liquidity risk [4]. Total debt of $550M is 17x the market cap, meaning equity holders are effectively wiped out if asset values decline even modestly. The interim CFO, Bitcoin treasury pivot, and family-controlled governance structure raise serious red flags for minority shareholders [2][3]. The company went public via SPAC (HCM Acquisition Corp) — a structure with a poor track record for post-merger shareholder returns. With financial reporting in MXN and operations entirely in Mexico, currency risk adds another layer of uncertainty. This is a highly speculative situation where the outcome depends entirely on whether the luxury hotel pipeline generates sufficient cash flow to service the massive debt load.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Cancun Grand Island I hotel completion under Hyatt Vivid and Dreams brands could add significant revenue from Mexico's largest tourist destination [1]</w:t>
      </w:r>
    </w:p>
    <w:p>
      <w:pPr>
        <w:spacing w:before="40" w:after="40"/>
        <w:ind w:left="283"/>
      </w:pPr>
      <w:r>
        <w:rPr>
          <w:rFonts w:ascii="Calibri" w:hAnsi="Calibri"/>
          <w:b/>
          <w:color w:val="4A6B25"/>
          <w:sz w:val="20"/>
        </w:rPr>
        <w:t xml:space="preserve">2. </w:t>
      </w:r>
      <w:r>
        <w:rPr>
          <w:rFonts w:ascii="Calibri" w:hAnsi="Calibri"/>
          <w:b w:val="0"/>
          <w:color w:val="3A4A28"/>
          <w:sz w:val="20"/>
        </w:rPr>
        <w:t>Continued occupancy ramp at Hotel Andaz and Mondrian Mexico City driving revenue toward profitability breakeven [1]</w:t>
      </w:r>
    </w:p>
    <w:p>
      <w:pPr>
        <w:spacing w:before="40" w:after="40"/>
        <w:ind w:left="283"/>
      </w:pPr>
      <w:r>
        <w:rPr>
          <w:rFonts w:ascii="Calibri" w:hAnsi="Calibri"/>
          <w:b/>
          <w:color w:val="4A6B25"/>
          <w:sz w:val="20"/>
        </w:rPr>
        <w:t xml:space="preserve">3. </w:t>
      </w:r>
      <w:r>
        <w:rPr>
          <w:rFonts w:ascii="Calibri" w:hAnsi="Calibri"/>
          <w:b w:val="0"/>
          <w:color w:val="3A4A28"/>
          <w:sz w:val="20"/>
        </w:rPr>
        <w:t>Potential asset sales or refinancing to address the severe liquidity crisis reflected in the 0.08 current ratio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crisis — current ratio of 0.08 and $550M debt against $32M market cap means any cash flow disruption could trigger restructuring or bankruptcy [4]</w:t>
      </w:r>
    </w:p>
    <w:p>
      <w:pPr>
        <w:spacing w:before="40" w:after="40"/>
        <w:ind w:left="283"/>
      </w:pPr>
      <w:r>
        <w:rPr>
          <w:rFonts w:ascii="Calibri" w:hAnsi="Calibri"/>
          <w:b/>
          <w:color w:val="4A6B25"/>
          <w:sz w:val="20"/>
        </w:rPr>
        <w:t xml:space="preserve">2. </w:t>
      </w:r>
      <w:r>
        <w:rPr>
          <w:rFonts w:ascii="Calibri" w:hAnsi="Calibri"/>
          <w:b w:val="0"/>
          <w:color w:val="3A4A28"/>
          <w:sz w:val="20"/>
        </w:rPr>
        <w:t>96% stock decline since SPAC listing reflects profound market skepticism about the company's ability to generate returns for minority shareholders [1]</w:t>
      </w:r>
    </w:p>
    <w:p>
      <w:pPr>
        <w:spacing w:before="40" w:after="40"/>
        <w:ind w:left="283"/>
      </w:pPr>
      <w:r>
        <w:rPr>
          <w:rFonts w:ascii="Calibri" w:hAnsi="Calibri"/>
          <w:b/>
          <w:color w:val="4A6B25"/>
          <w:sz w:val="20"/>
        </w:rPr>
        <w:t xml:space="preserve">3. </w:t>
      </w:r>
      <w:r>
        <w:rPr>
          <w:rFonts w:ascii="Calibri" w:hAnsi="Calibri"/>
          <w:b w:val="0"/>
          <w:color w:val="3A4A28"/>
          <w:sz w:val="20"/>
        </w:rPr>
        <w:t>Family-controlled governance with 98.3% insider ownership and interim CFO provides minimal oversight or accountability for capital allocation decisions including the Bitcoin treasury pivot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Murano's core business — developing and operating physical luxury hotel and resort properties in Mexico — is structurally immune to AI disruption. Hotels require physical buildings, in-person hospitality, location-specific experiences, and complex construction that AI cannot substitute [2]. AI may enhance operations (dynamic pricing, guest personalization, energy management) but cannot replace the fundamental real estate asset. The luxury hospitality segment is particularly AI-resistant as guests pay for human-curated experiences. AI Opportunity (0/1): No evidence of AI-driven revenue generation or AI-powered guest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Labor Practices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Murano Global Investments Quarterly Revenue and Earnings Data — 172% YoY revenue growth, Q3 2025 financials, StockAnalysis.com</w:t>
      </w:r>
    </w:p>
    <w:p>
      <w:pPr>
        <w:spacing w:before="20" w:after="20"/>
        <w:ind w:left="170"/>
      </w:pPr>
      <w:r>
        <w:rPr>
          <w:rFonts w:ascii="Calibri" w:hAnsi="Calibri"/>
          <w:b/>
          <w:color w:val="4A6B25"/>
          <w:sz w:val="15"/>
        </w:rPr>
        <w:t xml:space="preserve">2. </w:t>
      </w:r>
      <w:r>
        <w:rPr>
          <w:rFonts w:ascii="Calibri" w:hAnsi="Calibri"/>
          <w:b w:val="0"/>
          <w:color w:val="3A4A28"/>
          <w:sz w:val="17"/>
        </w:rPr>
        <w:t>Murano Global Investments Management Team — CEO Sacal Cababie, COO Marcos Sacal Cohen, Simply Wall St leadership analysis</w:t>
      </w:r>
    </w:p>
    <w:p>
      <w:pPr>
        <w:spacing w:before="20" w:after="20"/>
        <w:ind w:left="170"/>
      </w:pPr>
      <w:r>
        <w:rPr>
          <w:rFonts w:ascii="Calibri" w:hAnsi="Calibri"/>
          <w:b/>
          <w:color w:val="4A6B25"/>
          <w:sz w:val="15"/>
        </w:rPr>
        <w:t xml:space="preserve">3. </w:t>
      </w:r>
      <w:r>
        <w:rPr>
          <w:rFonts w:ascii="Calibri" w:hAnsi="Calibri"/>
          <w:b w:val="0"/>
          <w:color w:val="3A4A28"/>
          <w:sz w:val="17"/>
        </w:rPr>
        <w:t>Bloomberg, Yahoo Finance — Murano Bitcoin treasury announcement July 2025, SPAC merger completion March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MRNO,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