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MRSH</w:t>
      </w:r>
      <w:r>
        <w:rPr>
          <w:rFonts w:ascii="Calibri" w:hAnsi="Calibri"/>
          <w:b/>
          <w:color w:val="1A2010"/>
          <w:sz w:val="40"/>
        </w:rPr>
        <w:t xml:space="preserve">  Marsh McLennan Companies, Inc.</w:t>
      </w:r>
    </w:p>
    <w:p>
      <w:pPr>
        <w:spacing w:after="120"/>
      </w:pPr>
      <w:r>
        <w:rPr>
          <w:rFonts w:ascii="Calibri" w:hAnsi="Calibri"/>
          <w:b/>
          <w:color w:val="6E8450"/>
          <w:sz w:val="18"/>
        </w:rPr>
        <w:t>DIVIDEND SLEEVE · 2026-04-10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Marsh McLennan is the world's largest insurance broker and risk advisory firm, operating through four businesses: Marsh (insurance brokerage), Guy Carpenter (reinsurance), Mercer (workforce consulting), and Oliver Wyman (strategy consulting). The company serves clients in over 130 countries with $27B in annual revenue.</w:t>
      </w:r>
    </w:p>
    <w:p>
      <w:r>
        <w:rPr>
          <w:rFonts w:ascii="Calibri" w:hAnsi="Calibri"/>
          <w:b/>
          <w:color w:val="6E8450"/>
          <w:sz w:val="18"/>
        </w:rPr>
        <w:t>95,000 Employees · https://www.corporate.marsh.com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Marsh has expanded through strategic M&amp;A including the McGriff acquisition and numerous middle-market agency deals, growing revenue from $20.7B in 2022 to $27.0B in 2025 [1]. The launch of an Autonomous Vehicle Insurance Program with Uber and Apollo demonstrates new product innovation [2]. AI Deployment (1/2): Marsh is investing in proprietary data tools for risk modeling and agentic AI interfaces to enhance client service and operational efficiency, though quantified AI revenue impact is not yet disclosed [2]. Market Share (2/2): Marsh is the world's largest insurance broker by revenue, maintaining dominant market share in commercial insurance brokerage and reinsurance placement globally [1]. Pipeline (1/2): Ongoing digital transformation investments and consulting integration between Oliver Wyman and Mercer suggest pipeline expansion, but specific next-gen product launches with revenue targets are not publicly detailed [2]. R&amp;D Intensity (0/1): As a professional services firm, Marsh does not report R&amp;D spending in a comparable manner to technology peers, and spending intensity is below the tech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Marsh McLennan's purpose — helping clients navigate an increasingly dynamic and complex environment — is clear but functional rather than transformative. It identifies what the company does and for whom without articulating a deeper societal purpose [3]. Community Impact (1/2): Marsh McLennan has general corporate philanthropy programs and published ESG reports focused on sustainability commitments, but lacks distinctive, large-scale charitable programs with specific dollar commitments cited publicly [3]. Employee Retention (2/2): With 95,000 employees across 130 countries and long-tenured leadership (CEO John Doyle has deep institutional roots), the company demonstrates organizational stability; the recent hiring dispute with Alliant over departing teams suggests talent is valued enough to litigate over [2]. Insider Buying (1/2): Recent insider transactions show net selling — CEO Doyle sold $3.1M in shares in March 2026, and other officers executed sales — though these appear to be routine compensation-related dispositions rather than bearish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 McLennan demonstrates exceptional financial durability with ROE of 29.4% well above the 15% target, forward P/E of 15.3x (below 20x target), and consistent revenue growth of 8.7% YoY on a $27.0B base [1][5]. D/E of 140% is elevated for a services firm but manageable given $4.7B in free cash flow and stable recurring premium revenues. Profit margin of 15.4% is solid for an insurance brokerage model with high operating leverage. Dividend profile is excellent: 20+ consecutive years paid, 15+ consecutive years of growth, 5yr dividend CAGR of 11.0% (well above the 6% target), and a sustainable 40.7% payout ratio [5]. Liquidity floor easily cleared at $551M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Marsh McLennan exhibits many characteristics of an infinite game player — a 150+ year corporate history, consistent organic growth strategy, and patient capital allocation — but the company's purpose remains more functional than transformative. The recent leadership realignment across consulting and risk businesses shows willingness to evolve the organizational structure, though the M&amp;A-heavy growth model sometimes resembles finite-game revenue accumulation.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 McLennan's purpose of helping clients manage risk in a complex world is genuine but functional — it describes the business model, not a vision of a future state that inspires sacrifice. The 150-year institutional history shows durability, but the cause hasn't driven transformative strategic decisions in the way Sinek requires for top marks.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 is stable with 95,000 employees and long-tenured senior leadership. The recent management realignment — splitting consulting and risk businesses under new CEOs — was executed without apparent organizational disruption [2]. However, the aggressive litigation against Alliant over departing employees suggests a control-oriented approach to talent retention. Average for a large professional services firm.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 acknowledges competitors' strengths and uses competitive pressure constructively. The partnership between Oliver Wyman and Cultivating Leadership for culture advisory, and the Uber/Apollo autonomous vehicle program, show Marsh collaborates with potential rivals to build better solutions rather than pursuing zero-sum competition [2].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 has evolved from a pure insurance brokerage to a diversified professional services platform spanning risk, consulting, and workforce solutions. The recent organizational restructure blurring lines between consulting and risk businesses is an incremental but meaningful adaptation [2]. However, these shifts are evolutionary, not transformative — the core brokerage business model has remained fundamentally unchanged for decades.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 leadership has demonstrated courage through sustained investment in digital transformation and analytics capabilities while competitors focused on near-term cost cutting. The willingness to restructure the entire leadership team across consulting and risk businesses in 2026 — potentially disrupting client relationships in the short term for long-term strategic alignment — is a meaningful example of choosing long-term capability over short-term comfort [2]. The $2.0B in 2025 buybacks alongside continued M&amp;A shows capital allocation confidence. Score: 2/2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Marsh McLennan is the world's largest insurance broker and risk advisory firm with $27.0B in 2025 revenue (up 10% YoY), generating $4.7B in free cash flow with a 29.4% ROE [1]. The company benefits from a structural tailwind in commercial insurance — rising premiums, increasing climate-related risk complexity, and regulatory expansion all drive demand for brokerage and advisory services. The consulting businesses (Oliver Wyman, Mercer) provide diversification and cross-selling opportunities, while the recent leadership realignment signals a strategic push to integrate risk and consulting capabilities [2]. At 15.3x forward earnings with a 2.1% dividend yield growing at 11% annually, Marsh offers compelling risk-adjusted total return for income-oriented investors [5].</w:t>
      </w:r>
    </w:p>
    <w:p>
      <w:pPr>
        <w:spacing w:after="120"/>
      </w:pPr>
      <w:r>
        <w:rPr>
          <w:rFonts w:ascii="Calibri" w:hAnsi="Calibri"/>
          <w:b w:val="0"/>
          <w:color w:val="3A4A28"/>
          <w:sz w:val="20"/>
        </w:rPr>
        <w:t>The primary bear case centers on valuation compression if organic growth decelerates from the 8-10% range. Revenue growth of 8.7% in 2025, while solid, was partially acquisition-driven, and the core underlying organic growth rate is closer to 5-6% [1]. D/E of 140% reflects acquisition-funded leverage that limits financial flexibility in a downturn. The consulting businesses face headwinds from AI automation of analytical workloads, and the Greensill Capital lawsuit settlement exposed reputational risk in Marsh's specialty insurance operations [3]. Analyst consensus expects only 6.1% EPS growth in FY2026, suggesting the market has largely priced in near-term performance. A commercial insurance pricing downturn — which follows cyclical patterns — would pressure the core brokerage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realignment integrating consulting and risk businesses under new CEOs (Moynihan and Studer), potentially unlocking cross-selling synergies and operational efficiencies across the $27B revenue base [2]</w:t>
      </w:r>
    </w:p>
    <w:p>
      <w:pPr>
        <w:spacing w:before="40" w:after="40"/>
        <w:ind w:left="283"/>
      </w:pPr>
      <w:r>
        <w:rPr>
          <w:rFonts w:ascii="Calibri" w:hAnsi="Calibri"/>
          <w:b/>
          <w:color w:val="4A6B25"/>
          <w:sz w:val="20"/>
        </w:rPr>
        <w:t xml:space="preserve">2. </w:t>
      </w:r>
      <w:r>
        <w:rPr>
          <w:rFonts w:ascii="Calibri" w:hAnsi="Calibri"/>
          <w:b w:val="0"/>
          <w:color w:val="3A4A28"/>
          <w:sz w:val="20"/>
        </w:rPr>
        <w:t>AI-powered analytics and agentic interface deployment across brokerage operations, targeting margin expansion through lower cost-to-serve and improved client retention [2]</w:t>
      </w:r>
    </w:p>
    <w:p>
      <w:pPr>
        <w:spacing w:before="40" w:after="40"/>
        <w:ind w:left="283"/>
      </w:pPr>
      <w:r>
        <w:rPr>
          <w:rFonts w:ascii="Calibri" w:hAnsi="Calibri"/>
          <w:b/>
          <w:color w:val="4A6B25"/>
          <w:sz w:val="20"/>
        </w:rPr>
        <w:t xml:space="preserve">3. </w:t>
      </w:r>
      <w:r>
        <w:rPr>
          <w:rFonts w:ascii="Calibri" w:hAnsi="Calibri"/>
          <w:b w:val="0"/>
          <w:color w:val="3A4A28"/>
          <w:sz w:val="20"/>
        </w:rPr>
        <w:t>Continued M&amp;A expansion in the middle-market insurance brokerage space, with the McGriff acquisition and ongoing agency acquisitions adding scale and geographic reach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insurance pricing cycle reversal — a sustained soft market would compress brokerage commissions and organic revenue growth below the 5-6% threshold needed to sustain the premium multiple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consulting businesses — Oliver Wyman and Mercer advisory workloads face partial automation risk from enterprise AI tools that could commoditize analytical deliverables [2]</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and leverage risk — D/E of 140% with $21.4B in total debt limits financial flexibility and creates refinancing risk if credit conditions tighten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is a relationship-intensive, regulated business where AI poses low direct substitution risk. Mizuho analyst research explicitly notes 'low disruption threat' to insurance brokerage names focused on middle-market and larger accounts, with disintermediation risk 'geared to mass market personal lines and the smaller end of SME' — Marsh's large-account focus provides structural protection [2]. The consulting businesses (Oliver Wyman, Mercer) face moderate AI exposure as analytical and advisory workloads could be partially automated, but deep client relationships and regulatory complexity create meaningful switching costs. AI Opportunity (1/1): Marsh is deploying proprietary AI tools for risk modeling, agentic interfaces for client service, and advanced analytics across its brokerage and consulting businesses, generating measurable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Marsh McLennan Q4 2025 Earnings Release — $6.6B quarterly revenue, 9% YoY growth, $27.0B annual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Insurance Business, Investing.com — Marsh leadership realignment, AI strategy, and competitive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Insurance Business, KnowESG — Marsh McLennan Greensill settlement, ESG reporting, and legal developments,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MRSH insider transactions, CEO Doyle $3.1M sale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MRSH (Marsh McLennan),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