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MRVL</w:t>
      </w:r>
      <w:r>
        <w:rPr>
          <w:rFonts w:ascii="Calibri" w:hAnsi="Calibri"/>
          <w:b/>
          <w:color w:val="1A2010"/>
          <w:sz w:val="40"/>
        </w:rPr>
        <w:t xml:space="preserve">  Marvell Technology, Inc.</w:t>
      </w:r>
    </w:p>
    <w:p>
      <w:pPr>
        <w:spacing w:after="120"/>
      </w:pPr>
      <w:r>
        <w:rPr>
          <w:rFonts w:ascii="Calibri" w:hAnsi="Calibri"/>
          <w:b/>
          <w:color w:val="6E8450"/>
          <w:sz w:val="18"/>
        </w:rPr>
        <w:t>GROWTH SLEEVE · 2026-04-06 · Inspire: 57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Marvell Technology designs and sells data infrastructure semiconductor solutions spanning data center core to network edge. The company's portfolio includes custom AI accelerators (XPUs), electro-optics (PAM4/coherent DSPs), networking switches, storage controllers, and SerDes IP. Under CEO Matt Murphy, Marvell transformed from a consumer chip company into a leading AI data infrastructure semiconductor platform through the acquisitions of Cavium ($6B), Inphi ($10B), and Innovium ($1.1B).</w:t>
      </w:r>
    </w:p>
    <w:p>
      <w:r>
        <w:rPr>
          <w:rFonts w:ascii="Calibri" w:hAnsi="Calibri"/>
          <w:b/>
          <w:color w:val="6E8450"/>
          <w:sz w:val="18"/>
        </w:rPr>
        <w:t>7,480 Employees · https://www.marvell.com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CEO Matt Murphy has executed one of the most impressive transformations in semiconductors — through the Cavium ($6B, 2018), Inphi ($10B, 2021), and Innovium ($1.1B, 2021) acquisitions, he repositioned Marvell from a consumer chip company to an AI data infrastructure leader [2][3]. FY2026 revenue of $8.19B (up 42% YoY from $5.77B) validates this pivot. The custom silicon business doubled to $1.5B in FY2026 with hyperscaler customers including Alphabet, Amazon, and Microsoft [1]. AI Deployment (2/2): Marvell ships AI-critical products at scale — custom XPU accelerators, PAM4 optical DSPs for 800G/1.6T interconnects, and networking switches deployed in the world's largest AI data centers [1]. The custom silicon business alone generated $1.5B in FY2026, making Marvell a top-3 custom AI silicon provider. Market Share (2/2): Marvell is the second-largest custom AI silicon provider (behind Broadcom) and holds leadership positions in electro-optics DSPs, cloud networking switches, and storage controllers [1][3]. Pipeline (1/2): The company targets $15B revenue run rate by FY2028, with custom silicon expected to at least double again, driven by new Tier 1 XPU programs and multiple XPU-attach ramps [1]. The COMPUTEX 2026 keynote signals continued product momentum. R&amp;D Intensity (1/1): Marvell invests heavily in R&amp;D relative to revenue, with 7,480 employees largely in engineering roles across silicon design, systems engineering, and software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Marvell's mission to 'move, store, process, and secure the world's data' across increasingly complex infrastructure is specific, thoughtful, and directly tied to the company's strategic direction [2]. Murphy's vision of Marvell as 'the nervous system of AI' connects the company's work to a larger technological purpose. The mission has been validated by the successful $17B+ acquisition spree and the pivot to AI infrastructure. Community Impact (1/2): Marvell employs 7,480 people globally and has established sustainability initiatives including responsible mineral sourcing and energy-efficient semiconductor design [4]. However, specific philanthropic programs with dollar amounts are not prominent. Employee Retention (2/2): Murphy's leadership has attracted and retained top semiconductor talent through the integration of Cavium, Inphi, and Innovium — retaining key engineering teams from all three acquisitions is a strong signal of cultural health [2][3]. The company's culture has been described as blending 'strategic boldness with operational discipline.' Insider Buying (1/2): Murphy maintains significant equity exposure through compensation; insider transactions are roughly balanced with no standout net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Marvell's financial profile is exceptional across nearly every metric. D/E of 33.5% reflects a clean balance sheet despite $17B+ in acquisitions [5]. ROE of 19.3% exceeds the 15% target and is improving as acquired businesses scale. Revenue growth of 22.1% YoY with 5-year CAGR of ~22.5% ($2.97B FY2021 to $8.19B FY2026) demonstrates sustained hypergrowth driven by the AI infrastructure buildout [1]. Forward P/E of 20.3x is reasonable for a semiconductor company targeting $15B revenue by FY2028. Profit margin of 32.6% with gross margins of 51% demonstrates the high-value nature of custom silicon and electro-optics products [1]. Q4 FY2026 record revenue of $2.22B (up 22% YoY) shows continued momentum. Liquidity floor easily cleared at $1.99B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Marvell under Matt Murphy is a compelling infinite game player — the bold $17B+ acquisition strategy to transform from a consumer chip company into an AI data infrastructure leader, the willingness to rebuild the company's identity around a long-term technology thesis, and the engineering-centric culture all demonstrate a company building for decades, not quarters. The NVIDIA alliance and multi-year hyperscaler design wins validate the long-term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Marvell's purpose of building the data infrastructure that powers the world's AI and cloud computing is genuine, distinctive, and validated by strategic execution [2]. Murphy's vision has been proven by the successful integration of $17B+ in acquisitions and the pivot to AI infrastructure, with FY2026 revenue of $8.19B validating the thesis. However, the transformation is still relatively recent (Murphy joined in 2016) — it hasn't survived multiple leadership transitions or major downturns. (2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Murphy's ability to acquire and retain key engineering talent across three major acquisitions (Cavium, Inphi, Innovium) while maintaining cultural cohesion is exceptional evidence of high-trust leadership [2][3]. The fact that critical engineering teams from each acquisition remained and continued to innovate — with custom silicon doubling to $1.5B — demonstrates psychological safety and empowerment. The engineering-heavy culture with 7,480 employees focuses on technical excellence over corporate politics.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Marvell acknowledges Broadcom as a worthy rival in custom AI silicon and networking, and NVIDIA as both a partner and competitor in data center infrastructure [3]. The NVIDIA alliance demonstrates mature competitive thinking — partnering where it makes sense rather than trying to defeat everyone. Management language focuses on building the best platform rather than beating competitors.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Murphy's transformation of Marvell is a textbook example of existential flexibility — he took a consumer-oriented semiconductor company and, through $17B+ in acquisitions, fundamentally reinvented it as an AI data infrastructure platform [2][3]. This was not incremental evolution; it was a complete redefinition of the company's identity, product portfolio, and customer base. The pivot from consumer to data center/AI was driven by a strategic thesis about where technology was heading, not by desperation.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$17B+ acquisition strategy required immense courage — Murphy bet the company's future on data infrastructure at a time when Marvell was a mid-cap consumer chip company, taking on significant integration risk across Cavium, Inphi, and Innovium in rapid succession [2][3]. The willingness to dilute shareholders and increase debt to fund transformative acquisitions, rather than optimizing the existing business for short-term earnings, exemplifies courageous leadership.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Marvell Technology is a premier AI data infrastructure semiconductor company, having transformed under CEO Matt Murphy from a consumer chip maker into a leader in custom AI accelerators, electro-optic DSPs, and cloud networking. FY2026 revenue of $8.19B (up 42% YoY) was driven by the custom silicon business doubling to $1.5B with hyperscaler customers including Alphabet, Amazon, and Microsoft [1]. The company targets $15B revenue run rate by FY2028, implying ~83% growth over two years as custom silicon programs ramp and 1.6T electro-optics adoption accelerates [1]. At 20.3x forward P/E with 22%+ revenue growth, 32.6% profit margins, and D/E of just 33.5%, MRVL offers an attractive combination of growth, profitability, and balance sheet strength [5]. The NVIDIA alliance and multi-year hyperscaler design wins provide exceptional revenue visibility.</w:t>
      </w:r>
    </w:p>
    <w:p>
      <w:pPr>
        <w:spacing w:after="120"/>
      </w:pPr>
      <w:r>
        <w:rPr>
          <w:rFonts w:ascii="Calibri" w:hAnsi="Calibri"/>
          <w:b w:val="0"/>
          <w:color w:val="3A4A28"/>
          <w:sz w:val="20"/>
        </w:rPr>
        <w:t>The bear case centers on customer concentration, competitive intensity, and cyclical risk. Marvell's revenue is increasingly concentrated among a handful of hyperscaler customers — Alphabet, Amazon, and Microsoft — and a shift in any customer's custom silicon strategy could materially impact results. Broadcom is the dominant custom ASIC provider and has deeper customer relationships and greater scale, while NVIDIA's expanding networking portfolio creates competitive pressure in electro-optics and switches [3]. The trailing P/E of 35.7x embeds significant growth expectations; any deceleration from the $15B FY2028 target would trigger multiple compression. The semiconductor industry is inherently cyclical, and the current AI capex super-cycle may moderate as hyperscalers evaluate ROI on their massive investments. Revenue declined from FY2023 ($5.92B) to FY2024 ($5.51B) and FY2025 ($5.77B) before the AI-driven reacceleration, demonstrating that growth is not linear. Integration risk from $17B+ in acquisitions persists, and the company's ability to retain acquired engineering talent over multiple years remains unproven through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 silicon business targeting another doubling by FY2028, driven by new Tier 1 XPU programs and multiple XPU-attach ramps across Alphabet, Amazon, and Microsoft [1]</w:t>
      </w:r>
    </w:p>
    <w:p>
      <w:pPr>
        <w:spacing w:before="40" w:after="40"/>
        <w:ind w:left="283"/>
      </w:pPr>
      <w:r>
        <w:rPr>
          <w:rFonts w:ascii="Calibri" w:hAnsi="Calibri"/>
          <w:b/>
          <w:color w:val="4A6B25"/>
          <w:sz w:val="20"/>
        </w:rPr>
        <w:t xml:space="preserve">2. </w:t>
      </w:r>
      <w:r>
        <w:rPr>
          <w:rFonts w:ascii="Calibri" w:hAnsi="Calibri"/>
          <w:b w:val="0"/>
          <w:color w:val="3A4A28"/>
          <w:sz w:val="20"/>
        </w:rPr>
        <w:t>1.6T electro-optics transition beginning in 2026-2027, requiring next-generation PAM4 and coherent DSPs where Marvell holds technology leadership via the Inphi acquisition [3]</w:t>
      </w:r>
    </w:p>
    <w:p>
      <w:pPr>
        <w:spacing w:before="40" w:after="40"/>
        <w:ind w:left="283"/>
      </w:pPr>
      <w:r>
        <w:rPr>
          <w:rFonts w:ascii="Calibri" w:hAnsi="Calibri"/>
          <w:b/>
          <w:color w:val="4A6B25"/>
          <w:sz w:val="20"/>
        </w:rPr>
        <w:t xml:space="preserve">3. </w:t>
      </w:r>
      <w:r>
        <w:rPr>
          <w:rFonts w:ascii="Calibri" w:hAnsi="Calibri"/>
          <w:b w:val="0"/>
          <w:color w:val="3A4A28"/>
          <w:sz w:val="20"/>
        </w:rPr>
        <w:t>NVIDIA alliance deepening with co-development of networking and interconnect solutions for next-generation AI clusters, expanding Marvell's addressable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customer concentration — a small number of accounts generate the majority of AI-related revenue, and any shift in custom silicon strategy at Alphabet, Amazon, or Microsoft could create material headwinds [1]</w:t>
      </w:r>
    </w:p>
    <w:p>
      <w:pPr>
        <w:spacing w:before="40" w:after="40"/>
        <w:ind w:left="283"/>
      </w:pPr>
      <w:r>
        <w:rPr>
          <w:rFonts w:ascii="Calibri" w:hAnsi="Calibri"/>
          <w:b/>
          <w:color w:val="4A6B25"/>
          <w:sz w:val="20"/>
        </w:rPr>
        <w:t xml:space="preserve">2. </w:t>
      </w:r>
      <w:r>
        <w:rPr>
          <w:rFonts w:ascii="Calibri" w:hAnsi="Calibri"/>
          <w:b w:val="0"/>
          <w:color w:val="3A4A28"/>
          <w:sz w:val="20"/>
        </w:rPr>
        <w:t>Broadcom competitive dominance in custom AI ASICs — Broadcom's deeper customer relationships, greater scale, and aggressive pricing could limit Marvell's custom silicon market share gains [3]</w:t>
      </w:r>
    </w:p>
    <w:p>
      <w:pPr>
        <w:spacing w:before="40" w:after="40"/>
        <w:ind w:left="283"/>
      </w:pPr>
      <w:r>
        <w:rPr>
          <w:rFonts w:ascii="Calibri" w:hAnsi="Calibri"/>
          <w:b/>
          <w:color w:val="4A6B25"/>
          <w:sz w:val="20"/>
        </w:rPr>
        <w:t xml:space="preserve">3. </w:t>
      </w:r>
      <w:r>
        <w:rPr>
          <w:rFonts w:ascii="Calibri" w:hAnsi="Calibri"/>
          <w:b w:val="0"/>
          <w:color w:val="3A4A28"/>
          <w:sz w:val="20"/>
        </w:rPr>
        <w:t>AI capex cycle moderation — if hyperscalers reduce data center investment due to ROI concerns or macro headwinds, Marvell's growth trajectory toward $15B revenue by FY2028 would be at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Marvell IS AI infrastructure — the company's custom XPU accelerators, electro-optic DSPs, and networking switches are essential components inside hyperscaler AI data centers [1][3]. AI cannot disrupt Marvell because AI systems cannot function without the data infrastructure semiconductors Marvell designs. Every dollar of AI capex translates into demand for Marvell's products — custom silicon, optical interconnects, and networking. The company has been described as 'the nervous system of AI' with products deployed at Alphabet, Amazon, and Microsoft [1]. AI Opportunity (1/1): Marvell's AI revenue is massive and growing — custom silicon alone reached $1.5B in FY2026 (doubling YoY), and the data center segment (majority AI-driven) is the primary growth engine for the company's $15B FY2028 revenue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Marvell Technology FY2026 Earnings — $8.19B revenue (42% YoY growth), custom silicon doubled to $1.5B, $15B FY2028 target, Q4 record $2.22B</w:t>
      </w:r>
    </w:p>
    <w:p>
      <w:pPr>
        <w:spacing w:before="20" w:after="20"/>
        <w:ind w:left="170"/>
      </w:pPr>
      <w:r>
        <w:rPr>
          <w:rFonts w:ascii="Calibri" w:hAnsi="Calibri"/>
          <w:b/>
          <w:color w:val="4A6B25"/>
          <w:sz w:val="15"/>
        </w:rPr>
        <w:t xml:space="preserve">2. </w:t>
      </w:r>
      <w:r>
        <w:rPr>
          <w:rFonts w:ascii="Calibri" w:hAnsi="Calibri"/>
          <w:b w:val="0"/>
          <w:color w:val="3A4A28"/>
          <w:sz w:val="17"/>
        </w:rPr>
        <w:t>Marvell Leadership — CEO Matt Murphy transformation through Cavium/Inphi/Innovium acquisitions, COMPUTEX 2026 keynote</w:t>
      </w:r>
    </w:p>
    <w:p>
      <w:pPr>
        <w:spacing w:before="20" w:after="20"/>
        <w:ind w:left="170"/>
      </w:pPr>
      <w:r>
        <w:rPr>
          <w:rFonts w:ascii="Calibri" w:hAnsi="Calibri"/>
          <w:b/>
          <w:color w:val="4A6B25"/>
          <w:sz w:val="15"/>
        </w:rPr>
        <w:t xml:space="preserve">3. </w:t>
      </w:r>
      <w:r>
        <w:rPr>
          <w:rFonts w:ascii="Calibri" w:hAnsi="Calibri"/>
          <w:b w:val="0"/>
          <w:color w:val="3A4A28"/>
          <w:sz w:val="17"/>
        </w:rPr>
        <w:t>FinancialContent — 'The Nervous System of AI: A Deep-Dive into Marvell Technology and the NVIDIA Alliance,' March 2026</w:t>
      </w:r>
    </w:p>
    <w:p>
      <w:pPr>
        <w:spacing w:before="20" w:after="20"/>
        <w:ind w:left="170"/>
      </w:pPr>
      <w:r>
        <w:rPr>
          <w:rFonts w:ascii="Calibri" w:hAnsi="Calibri"/>
          <w:b/>
          <w:color w:val="4A6B25"/>
          <w:sz w:val="15"/>
        </w:rPr>
        <w:t xml:space="preserve">4. </w:t>
      </w:r>
      <w:r>
        <w:rPr>
          <w:rFonts w:ascii="Calibri" w:hAnsi="Calibri"/>
          <w:b w:val="0"/>
          <w:color w:val="3A4A28"/>
          <w:sz w:val="17"/>
        </w:rPr>
        <w:t>Marvell Sustainability Report FY2024 — ESG programs, responsible mineral sourcing, energy-efficient semiconductor design</w:t>
      </w:r>
    </w:p>
    <w:p>
      <w:pPr>
        <w:spacing w:before="20" w:after="20"/>
        <w:ind w:left="170"/>
      </w:pPr>
      <w:r>
        <w:rPr>
          <w:rFonts w:ascii="Calibri" w:hAnsi="Calibri"/>
          <w:b/>
          <w:color w:val="4A6B25"/>
          <w:sz w:val="15"/>
        </w:rPr>
        <w:t xml:space="preserve">5. </w:t>
      </w:r>
      <w:r>
        <w:rPr>
          <w:rFonts w:ascii="Calibri" w:hAnsi="Calibri"/>
          <w:b w:val="0"/>
          <w:color w:val="3A4A28"/>
          <w:sz w:val="17"/>
        </w:rPr>
        <w:t>Yahoo Finance — MRVL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