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MSTR</w:t>
      </w:r>
      <w:r>
        <w:rPr>
          <w:rFonts w:ascii="Calibri" w:hAnsi="Calibri"/>
          <w:b/>
          <w:color w:val="1A2010"/>
          <w:sz w:val="40"/>
        </w:rPr>
        <w:t xml:space="preserve">  Strategy Inc</w:t>
      </w:r>
    </w:p>
    <w:p>
      <w:pPr>
        <w:spacing w:after="120"/>
      </w:pPr>
      <w:r>
        <w:rPr>
          <w:rFonts w:ascii="Calibri" w:hAnsi="Calibri"/>
          <w:b/>
          <w:color w:val="6E8450"/>
          <w:sz w:val="18"/>
        </w:rPr>
        <w:t>GROWTH SLEEVE · 2026-05-12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Strategy Inc (formerly MicroStrategy) operates as a bitcoin treasury company and enterprise analytics software provider. The company holds approximately 818,334 bitcoins valued at over $64 billion, representing about 3.9% of all Bitcoin that will ever exist. It also offers AI-powered enterprise analytics platforms including Strategy One and Strategy Mosaic.</w:t>
      </w:r>
    </w:p>
    <w:p>
      <w:r>
        <w:rPr>
          <w:rFonts w:ascii="Calibri" w:hAnsi="Calibri"/>
          <w:b/>
          <w:color w:val="6E8450"/>
          <w:sz w:val="18"/>
        </w:rPr>
        <w:t>1,511 Employees · https://www.strategy.com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Strategy executed a transformative pivot from enterprise BI software to a bitcoin treasury company, fundamentally redefining its business model and creating a new corporate category — but this pivot is financial engineering rather than product innovation [1]. AI Deployment (1/2): The company offers AI-powered analytics through Strategy One and Strategy Mosaic, but these legacy BI products generate minimal revenue relative to the bitcoin treasury operations [2]. Market Share (1/2): Strategy is the undisputed leader in corporate bitcoin holdings with 818,334 BTC, roughly 3.9% of total supply, defining the corporate bitcoin treasury category it created [3]. Product Pipeline (0/2): No meaningful product pipeline beyond continued bitcoin accumulation; the '42/42 Plan' targets raising $84 billion but this is capital allocation, not product development. R&amp;D Intensity (1/1): R&amp;D spending on analytics software is modest but above average for a company of its size in the BI space.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Strategy's implicit mission centers on 'advancing Bitcoin adoption and providing economic exposure to Bitcoin for investors,' which is clear and company-specific but not deeply purposeful beyond financial returns — it describes what they do rather than a transformative future state [1]. Community &amp; Charitable Impact (0/2): No evidence of significant philanthropic programs or community investment initiatives beyond Michael Saylor's personal educational content about Bitcoin. Employee Retention (1/2): With only 1,511 employees, the company maintains a lean and stable organization; the legacy BI team has shown stability, though the pivot to bitcoin treasury has narrowed talent needs significantly. Insider Buying (1/2): Michael Saylor has been a consistent buyer of MSTR shares and personally holds significant bitcoin, demonstrating conviction, though his buying is intertwined with the company's core strategy rather than representing a separate vote of confidence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is structurally weak due to negative profitability and extreme bitcoin price dependency. ROE is deeply negative at -30.8% driven by a $12.54 billion net loss in Q1 2026 alone from unrealized bitcoin fair value losses [5]. Forward P/E of 50.4x is elevated, and PEG of 2.85 offers poor growth-adjusted value. Debt-to-equity of 18.1% is the sole bright spot, reflecting low traditional leverage, though the company has raised $25.3 billion in capital through convertible notes and ATM equity offerings to fund bitcoin purchases [6]. Profit margin is effectively zero on a GAAP basis. The stock is highly liquid at $3.8 billion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Strategy exhibits a mix of infinite and finite game characteristics. Michael Saylor's bitcoin conviction demonstrates extraordinary long-term thinking and willingness to endure massive short-term volatility, but the company's existence is essentially a single concentrated bet rather than a diversified mission to serve stakeholders broadly.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Saylor articulates bitcoin as 'digital energy' and 'the apex property of the human race,' framing adoption as transformative for humanity. However, this functions more as an investment thesis than a Just Cause — it primarily benefits shareholders through asset appreciation rather than describing a future state that invites broad participation and sacrifice. The cause is not resilient beyond bitcoin's success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organization is extremely lean at 1,511 employees, and Saylor maintains an 'iron grip' on strategic direction as Executive Chairman. The transition from CEO to Executive Chairman in 2022 with Phong Le taking the CEO role shows some delegation, but Saylor remains the singular visionary and ultimate decision-maker. The company culture appears stable but heavily personality-driven [8].</w:t>
      </w:r>
    </w:p>
    <w:p>
      <w:pPr>
        <w:spacing w:before="200" w:after="40"/>
      </w:pPr>
      <w:r>
        <w:rPr>
          <w:rFonts w:ascii="Calibri" w:hAnsi="Calibri"/>
          <w:b/>
          <w:color w:val="1A2010"/>
          <w:sz w:val="22"/>
        </w:rPr>
        <w:t>Worthy Rivals</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Strategy positions itself as the definitive corporate bitcoin treasury with no peer acknowledged as a worthy rival. Saylor's language consistently centers on being the biggest and best bitcoin holder, framing competition in finite terms of accumulation dominance rather than using competitive dynamics for self-improvement [3].</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Strategy demonstrated transformative existential flexibility by abandoning its legacy BI software identity to become a bitcoin treasury company — a dramatic pivot that redefined the entire company. The recent shift from 'never sell bitcoin' to actively managing holdings for per-share value also shows willingness to evolve the strategy when circumstances demand it [4].</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Saylor showed significant courage in converting the company's treasury to bitcoin starting in 2020, enduring massive drawdowns during the 2022 crypto winter and persistent skepticism from traditional finance. However, this courage is concentrated in a single bet rather than a pattern of principled long-term investment decisions across a diversified business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Strategy Inc is the world's largest corporate bitcoin holder with 818,334 BTC (~$64 billion), offering leveraged exposure to bitcoin through public equity markets. The company pioneered the 'bitcoin treasury' corporate model, raising $25.3 billion in 2025 alone through innovative capital markets strategies including convertible notes and ATM equity offerings, delivering a 22.8% BTC yield in 2025 and 9.4% already in early 2026 [1][3].</w:t>
      </w:r>
    </w:p>
    <w:p>
      <w:pPr>
        <w:spacing w:after="120"/>
      </w:pPr>
      <w:r>
        <w:rPr>
          <w:rFonts w:ascii="Calibri" w:hAnsi="Calibri"/>
          <w:b w:val="0"/>
          <w:color w:val="3A4A28"/>
          <w:sz w:val="20"/>
        </w:rPr>
        <w:t>However, the company is essentially a single-asset bet with no meaningful operating business diversification. The legacy analytics software generates minimal revenue, GAAP profitability is nonexistent due to bitcoin fair value accounting ($12.54B Q1 loss), and the stock trades at a significant premium to NAV that could compress as bitcoin ETFs proliferate [5]. The recent shift from 'never sell bitcoin' to active balance sheet management signals pragmatism but also undermines the original thesis [4]. At a Forward P/E of 50x and with extreme bitcoin price sensitivity (beta of 3.6), the risk-reward is challenging for IOWN's framework, which values durable, diversified business models.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Bitcoin price appreciation above $100K could drive significant NAV growth and potential BTC yield acceleration beyond the 9.4% achieved in early 2026 [1]</w:t>
      </w:r>
    </w:p>
    <w:p>
      <w:pPr>
        <w:spacing w:before="40" w:after="40"/>
        <w:ind w:left="283"/>
      </w:pPr>
      <w:r>
        <w:rPr>
          <w:rFonts w:ascii="Calibri" w:hAnsi="Calibri"/>
          <w:b/>
          <w:color w:val="4A6B25"/>
          <w:sz w:val="20"/>
        </w:rPr>
        <w:t xml:space="preserve">2. </w:t>
      </w:r>
      <w:r>
        <w:rPr>
          <w:rFonts w:ascii="Calibri" w:hAnsi="Calibri"/>
          <w:b w:val="0"/>
          <w:color w:val="3A4A28"/>
          <w:sz w:val="20"/>
        </w:rPr>
        <w:t>Successful execution of the 42/42 capital plan to raise $84 billion would further consolidate Strategy's dominance in the corporate bitcoin treasury category [6]</w:t>
      </w:r>
    </w:p>
    <w:p>
      <w:pPr>
        <w:spacing w:before="40" w:after="40"/>
        <w:ind w:left="283"/>
      </w:pPr>
      <w:r>
        <w:rPr>
          <w:rFonts w:ascii="Calibri" w:hAnsi="Calibri"/>
          <w:b/>
          <w:color w:val="4A6B25"/>
          <w:sz w:val="20"/>
        </w:rPr>
        <w:t xml:space="preserve">3. </w:t>
      </w:r>
      <w:r>
        <w:rPr>
          <w:rFonts w:ascii="Calibri" w:hAnsi="Calibri"/>
          <w:b w:val="0"/>
          <w:color w:val="3A4A28"/>
          <w:sz w:val="20"/>
        </w:rPr>
        <w:t>Potential inclusion in major stock indices like the S&amp;P 500 as the company's market cap exceeds $68 billion, which would drive significant passive fund inflows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 sustained bitcoin price decline below $40K could trigger a debt spiral, as $25+ billion in convertible notes and obligations create significant fixed-income servicing requirements [6]</w:t>
      </w:r>
    </w:p>
    <w:p>
      <w:pPr>
        <w:spacing w:before="40" w:after="40"/>
        <w:ind w:left="283"/>
      </w:pPr>
      <w:r>
        <w:rPr>
          <w:rFonts w:ascii="Calibri" w:hAnsi="Calibri"/>
          <w:b/>
          <w:color w:val="4A6B25"/>
          <w:sz w:val="20"/>
        </w:rPr>
        <w:t xml:space="preserve">2. </w:t>
      </w:r>
      <w:r>
        <w:rPr>
          <w:rFonts w:ascii="Calibri" w:hAnsi="Calibri"/>
          <w:b w:val="0"/>
          <w:color w:val="3A4A28"/>
          <w:sz w:val="20"/>
        </w:rPr>
        <w:t>Regulatory risk from SEC or global regulators targeting corporate bitcoin treasury structures could undermine the company's business model entirely [7]</w:t>
      </w:r>
    </w:p>
    <w:p>
      <w:pPr>
        <w:spacing w:before="40" w:after="40"/>
        <w:ind w:left="283"/>
      </w:pPr>
      <w:r>
        <w:rPr>
          <w:rFonts w:ascii="Calibri" w:hAnsi="Calibri"/>
          <w:b/>
          <w:color w:val="4A6B25"/>
          <w:sz w:val="20"/>
        </w:rPr>
        <w:t xml:space="preserve">3. </w:t>
      </w:r>
      <w:r>
        <w:rPr>
          <w:rFonts w:ascii="Calibri" w:hAnsi="Calibri"/>
          <w:b w:val="0"/>
          <w:color w:val="3A4A28"/>
          <w:sz w:val="20"/>
        </w:rPr>
        <w:t>Premium compression risk as bitcoin ETFs become more accessible and cost-effective, reducing investor willingness to pay a premium for MSTR as a bitcoin proxy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Strategy's core business is holding bitcoin on its balance sheet — a financial operation that is partially exposed to AI disruption. AI-driven trading algorithms and automated financial products could compress the premium investors pay for MSTR as a bitcoin proxy, and the legacy analytics business faces direct competition from AI-powered BI tools that could erode remaining software revenue [7]. However, bitcoin itself as a scarce digital asset is not substitutable by AI, and the treasury model relies on capital markets access rather than technology moats. AI Opportunity (1/1): Strategy One and Strategy Mosaic incorporate AI-powered analytics capabilities, generating some AI-related software revenue, though this is a minor business line relative to bitcoin holdings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Strategy Inc Q1 2026 Earnings Release, May 5, 2026</w:t>
      </w:r>
    </w:p>
    <w:p>
      <w:pPr>
        <w:spacing w:before="20" w:after="20"/>
        <w:ind w:left="170"/>
      </w:pPr>
      <w:r>
        <w:rPr>
          <w:rFonts w:ascii="Calibri" w:hAnsi="Calibri"/>
          <w:b/>
          <w:color w:val="4A6B25"/>
          <w:sz w:val="15"/>
        </w:rPr>
        <w:t xml:space="preserve">2. </w:t>
      </w:r>
      <w:r>
        <w:rPr>
          <w:rFonts w:ascii="Calibri" w:hAnsi="Calibri"/>
          <w:b w:val="0"/>
          <w:color w:val="3A4A28"/>
          <w:sz w:val="17"/>
        </w:rPr>
        <w:t>Strategy.com — Product Pages for Strategy One and Strategy Mosaic, accessed May 2026</w:t>
      </w:r>
    </w:p>
    <w:p>
      <w:pPr>
        <w:spacing w:before="20" w:after="20"/>
        <w:ind w:left="170"/>
      </w:pPr>
      <w:r>
        <w:rPr>
          <w:rFonts w:ascii="Calibri" w:hAnsi="Calibri"/>
          <w:b/>
          <w:color w:val="4A6B25"/>
          <w:sz w:val="15"/>
        </w:rPr>
        <w:t xml:space="preserve">3. </w:t>
      </w:r>
      <w:r>
        <w:rPr>
          <w:rFonts w:ascii="Calibri" w:hAnsi="Calibri"/>
          <w:b w:val="0"/>
          <w:color w:val="3A4A28"/>
          <w:sz w:val="17"/>
        </w:rPr>
        <w:t>CoinDesk — Strategy adds $255 million more bitcoin, holdings reach 818,334 BTC, April 27, 2026</w:t>
      </w:r>
    </w:p>
    <w:p>
      <w:pPr>
        <w:spacing w:before="20" w:after="20"/>
        <w:ind w:left="170"/>
      </w:pPr>
      <w:r>
        <w:rPr>
          <w:rFonts w:ascii="Calibri" w:hAnsi="Calibri"/>
          <w:b/>
          <w:color w:val="4A6B25"/>
          <w:sz w:val="15"/>
        </w:rPr>
        <w:t xml:space="preserve">4. </w:t>
      </w:r>
      <w:r>
        <w:rPr>
          <w:rFonts w:ascii="Calibri" w:hAnsi="Calibri"/>
          <w:b w:val="0"/>
          <w:color w:val="3A4A28"/>
          <w:sz w:val="17"/>
        </w:rPr>
        <w:t>CNBC — Bitcoin treasury firm Strategy breaks from 'never sell' approach, May 5, 2026</w:t>
      </w:r>
    </w:p>
    <w:p>
      <w:pPr>
        <w:spacing w:before="20" w:after="20"/>
        <w:ind w:left="170"/>
      </w:pPr>
      <w:r>
        <w:rPr>
          <w:rFonts w:ascii="Calibri" w:hAnsi="Calibri"/>
          <w:b/>
          <w:color w:val="4A6B25"/>
          <w:sz w:val="15"/>
        </w:rPr>
        <w:t xml:space="preserve">5. </w:t>
      </w:r>
      <w:r>
        <w:rPr>
          <w:rFonts w:ascii="Calibri" w:hAnsi="Calibri"/>
          <w:b w:val="0"/>
          <w:color w:val="3A4A28"/>
          <w:sz w:val="17"/>
        </w:rPr>
        <w:t>TheStreet Crypto — Michael Saylor's Strategy reports $12.54B net loss in Q1, May 2026</w:t>
      </w:r>
    </w:p>
    <w:p>
      <w:pPr>
        <w:spacing w:before="20" w:after="20"/>
        <w:ind w:left="170"/>
      </w:pPr>
      <w:r>
        <w:rPr>
          <w:rFonts w:ascii="Calibri" w:hAnsi="Calibri"/>
          <w:b/>
          <w:color w:val="4A6B25"/>
          <w:sz w:val="15"/>
        </w:rPr>
        <w:t xml:space="preserve">6. </w:t>
      </w:r>
      <w:r>
        <w:rPr>
          <w:rFonts w:ascii="Calibri" w:hAnsi="Calibri"/>
          <w:b w:val="0"/>
          <w:color w:val="3A4A28"/>
          <w:sz w:val="17"/>
        </w:rPr>
        <w:t>VanEck — Deconstructing Strategy (MSTR): Premium, Leverage, and Capital Structure, 2026</w:t>
      </w:r>
    </w:p>
    <w:p>
      <w:pPr>
        <w:spacing w:before="20" w:after="20"/>
        <w:ind w:left="170"/>
      </w:pPr>
      <w:r>
        <w:rPr>
          <w:rFonts w:ascii="Calibri" w:hAnsi="Calibri"/>
          <w:b/>
          <w:color w:val="4A6B25"/>
          <w:sz w:val="15"/>
        </w:rPr>
        <w:t xml:space="preserve">7. </w:t>
      </w:r>
      <w:r>
        <w:rPr>
          <w:rFonts w:ascii="Calibri" w:hAnsi="Calibri"/>
          <w:b w:val="0"/>
          <w:color w:val="3A4A28"/>
          <w:sz w:val="17"/>
        </w:rPr>
        <w:t>ESG Hound — MicroStrategy, ESG and Bitcoin environmental analysis, 2025</w:t>
      </w:r>
    </w:p>
    <w:p>
      <w:pPr>
        <w:spacing w:before="20" w:after="20"/>
        <w:ind w:left="170"/>
      </w:pPr>
      <w:r>
        <w:rPr>
          <w:rFonts w:ascii="Calibri" w:hAnsi="Calibri"/>
          <w:b/>
          <w:color w:val="4A6B25"/>
          <w:sz w:val="15"/>
        </w:rPr>
        <w:t xml:space="preserve">8. </w:t>
      </w:r>
      <w:r>
        <w:rPr>
          <w:rFonts w:ascii="Calibri" w:hAnsi="Calibri"/>
          <w:b w:val="0"/>
          <w:color w:val="3A4A28"/>
          <w:sz w:val="17"/>
        </w:rPr>
        <w:t>TechTarget — Saylor to step down as MicroStrategy CEO after 33 years, August 2022</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