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MS</w:t>
      </w:r>
      <w:r>
        <w:rPr>
          <w:rFonts w:ascii="Calibri" w:hAnsi="Calibri"/>
          <w:b/>
          <w:color w:val="1A2010"/>
          <w:sz w:val="40"/>
        </w:rPr>
        <w:t xml:space="preserve">  Morgan Stanley</w:t>
      </w:r>
    </w:p>
    <w:p>
      <w:pPr>
        <w:spacing w:after="120"/>
      </w:pPr>
      <w:r>
        <w:rPr>
          <w:rFonts w:ascii="Calibri" w:hAnsi="Calibri"/>
          <w:b/>
          <w:color w:val="6E8450"/>
          <w:sz w:val="18"/>
        </w:rPr>
        <w:t>DIVIDEND SLEEVE · 2026-03-28 · Inspire: -67 · MIXED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FFF8E1" w:val="clear"/>
          </w:tcPr>
          <w:p>
            <w:pPr>
              <w:spacing w:before="40" w:after="40"/>
              <w:jc w:val="center"/>
            </w:pPr>
            <w:r>
              <w:rPr>
                <w:rFonts w:ascii="Calibri" w:hAnsi="Calibri"/>
                <w:b/>
                <w:color w:val="D97706"/>
                <w:sz w:val="20"/>
              </w:rPr>
              <w:t>HOLD</w:t>
            </w:r>
          </w:p>
        </w:tc>
      </w:tr>
    </w:tbl>
    <w:p>
      <w:pPr>
        <w:spacing w:before="120" w:after="200"/>
      </w:pPr>
      <w:r>
        <w:rPr>
          <w:rFonts w:ascii="Calibri" w:hAnsi="Calibri"/>
          <w:b/>
          <w:color w:val="1A2010"/>
          <w:sz w:val="80"/>
        </w:rPr>
        <w:t>70</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Financial Services · Capital Markets · NYSE · United States</w:t>
      </w:r>
    </w:p>
    <w:p>
      <w:pPr>
        <w:spacing w:after="80"/>
      </w:pPr>
      <w:r>
        <w:rPr>
          <w:rFonts w:ascii="Calibri" w:hAnsi="Calibri"/>
          <w:b w:val="0"/>
          <w:color w:val="3A4A28"/>
          <w:sz w:val="20"/>
        </w:rPr>
        <w:t>Morgan Stanley is a global financial holding company providing capital raising, financial advisory, equity and fixed income sales/trading, prime brokerage, wealth management, and investment management services across the Americas, Europe, Asia, the Middle East, and Africa through its Institutional Securities, Wealth Management, and Investment Management segments.</w:t>
      </w:r>
    </w:p>
    <w:p>
      <w:r>
        <w:rPr>
          <w:rFonts w:ascii="Calibri" w:hAnsi="Calibri"/>
          <w:b/>
          <w:color w:val="6E8450"/>
          <w:sz w:val="18"/>
        </w:rPr>
        <w:t>83,000 Employees · https://www.morganstanley.com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(2/3): Morgan Stanley achieved record full-year 2025 revenue of $70.6B, up 28% EPS growth YoY, with Q4 revenue of $17.9B beating estimates by 11.2% [1]. The firm's successful transformation from a trading-heavy bank to a wealth management powerhouse under James Gorman, and now Ted Pick's integration strategy, represents a significant business model evolution. AI Deployment (2/2): Morgan Stanley was the first major Wall Street firm to deploy OpenAI's GPT-4 internally, and now has over 3,500 AI-driven tools in use across the firm — including real-time scenario analysis, tax planning, and client conversation transcription saving advisors 10-15 hours weekly [2]. Market Share (2/2): Morgan Stanley is the #1 wealth manager globally with $7.9T in client assets, targeting $10T. The firm holds top-3 positions in M&amp;A advisory and equity underwriting globally [1]. Pipeline (0/2): No transformative next-gen products with specific timelines beyond continued AI integration and platform buildout. R&amp;D Intensity (1/1): The firm's dedicated AI research team publishes at NeurIPS, ICML, and ICLR, and the appointment of Jeff McMillan as firm-wide Head of AI signals above-peer investment in technology [2].</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(2/4): Morgan Stanley's stated purpose is to 'help people, institutions and governments raise, manage and distribute the capital they need to achieve their goals' — clear but not distinctive or inspiring beyond the financial services norm. Community Impact (1/2): Morgan Stanley has established community development financial institutions (CDFIs) and affordable housing investments, but these are standard for a major bank and lack the distinctive scale of purpose-driven philanthropy. Employee Retention (1/2): Glassdoor rating of 3.9/5 with 78% recommending the firm and 75% positive outlook is solid for financial services; Wealth Management division rates 4.3/5 [3]. However, reports of annual layoffs and letting go top performers temper this. Insider Buying (1/2): CEO Ted Pick and senior leadership maintain significant equity exposure through compensation, though no evidence of exceptional voluntary open-market purchases beyond standard retention grants.</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9</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961"/>
            <w:shd w:fill="16A34A" w:val="clear"/>
          </w:tcPr>
          <w:p>
            <w:pPr>
              <w:spacing w:before="0" w:after="0"/>
            </w:pPr>
            <w:r>
              <w:rPr>
                <w:rFonts w:ascii="Calibri" w:hAnsi="Calibri"/>
                <w:b w:val="0"/>
                <w:color w:val="1A2010"/>
                <w:sz w:val="4"/>
              </w:rPr>
            </w:r>
          </w:p>
        </w:tc>
        <w:tc>
          <w:tcPr>
            <w:tcW w:type="dxa" w:w="551"/>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Morgan Stanley's financials are exceptionally strong for a diversified bank. Record revenue of $70.6B in 2025 with 11% YoY growth, profit margin of 24.0%, and ROE of 15.6% demonstrate operational excellence [1][4]. Forward P/E of 12.8x is highly attractive for a franchise of this quality. Payout ratio of 37.7% with $4.00 annual dividend (2.53% yield) is well-covered. Dividend has grown from $1.40/year in 2020 to $4.00 in 2026, a ~23% 5yr CAGR [4]. D/E of 455.7% is typical for banks given deposit-funded leverage but scores 0 on the mechanical metric. ROTCE of 21.6% and efficiency ratio of 68.4% confirm best-in-class execution [1]. Liquidity floor easily cleared: 7.2M avg volume × $158.39 = $1.14B daily [4].</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B8860B"/>
          <w:sz w:val="22"/>
        </w:rPr>
        <w:t>MIXED</w:t>
      </w:r>
      <w:r>
        <w:rPr>
          <w:rFonts w:ascii="Calibri" w:hAnsi="Calibri"/>
          <w:b w:val="0"/>
          <w:color w:val="6E8450"/>
          <w:sz w:val="22"/>
        </w:rPr>
        <w:t xml:space="preserve">      Overall: </w:t>
      </w:r>
      <w:r>
        <w:rPr>
          <w:rFonts w:ascii="Calibri" w:hAnsi="Calibri"/>
          <w:b/>
          <w:color w:val="16A34A"/>
          <w:sz w:val="28"/>
        </w:rPr>
        <w:t>7</w:t>
      </w:r>
      <w:r>
        <w:rPr>
          <w:rFonts w:ascii="Calibri" w:hAnsi="Calibri"/>
          <w:b w:val="0"/>
          <w:color w:val="9DAF88"/>
          <w:sz w:val="18"/>
        </w:rPr>
        <w:t xml:space="preserve"> /10</w:t>
      </w:r>
    </w:p>
    <w:p>
      <w:pPr>
        <w:spacing w:after="120"/>
      </w:pPr>
      <w:r>
        <w:rPr>
          <w:rFonts w:ascii="Calibri" w:hAnsi="Calibri"/>
          <w:b w:val="0"/>
          <w:color w:val="3A4A28"/>
          <w:sz w:val="18"/>
        </w:rPr>
        <w:t>Morgan Stanley plays a largely infinite game under the transition from Gorman to Pick — the decade-long transformation from trading house to wealth management platform was a courageous, long-term strategic pivot that sacrificed short-term trading revenue for durable, recurring fee income. However, the financial services industry's quarterly earnings focus and competitive 'league table' mentality introduce finite game elements.</w:t>
      </w:r>
    </w:p>
    <w:p>
      <w:pPr>
        <w:spacing w:before="200" w:after="40"/>
      </w:pPr>
      <w:r>
        <w:rPr>
          <w:rFonts w:ascii="Calibri" w:hAnsi="Calibri"/>
          <w:b/>
          <w:color w:val="1A2010"/>
          <w:sz w:val="22"/>
        </w:rPr>
        <w:t>Just Cause</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(2/3): Morgan Stanley's purpose — enabling capital formation for people, institutions, and governments — is genuine and connects to broader economic advancement. The firm's deliberate pivot to wealth management under Gorman reflected a long-term vision of serving clients through market cycles rather than optimizing trading P&amp;L. However, this is not yet a transformative cause validated across decades of leadership changes [1].</w:t>
      </w:r>
    </w:p>
    <w:p>
      <w:pPr>
        <w:spacing w:before="200" w:after="40"/>
      </w:pPr>
      <w:r>
        <w:rPr>
          <w:rFonts w:ascii="Calibri" w:hAnsi="Calibri"/>
          <w:b/>
          <w:color w:val="1A2010"/>
          <w:sz w:val="22"/>
        </w:rPr>
        <w:t>Trusting Teams</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(1/2): Glassdoor 3.9/5 with 78% recommendation rate and particularly strong 4.3/5 in Wealth Management suggest adequate organizational trust [3]. CEO Pick emphasizes 'a history of trust' at the firm. However, reports of annual layoffs and a competitive Wall Street culture prevent a top score.</w:t>
      </w:r>
    </w:p>
    <w:p>
      <w:pPr>
        <w:spacing w:before="200" w:after="40"/>
      </w:pPr>
      <w:r>
        <w:rPr>
          <w:rFonts w:ascii="Calibri" w:hAnsi="Calibri"/>
          <w:b/>
          <w:color w:val="1A2010"/>
          <w:sz w:val="22"/>
        </w:rPr>
        <w:t>Worthy Rivals</w:t>
      </w:r>
    </w:p>
    <w:p>
      <w:pPr>
        <w:spacing w:before="0" w:after="40"/>
      </w:pPr>
      <w:r>
        <w:rPr>
          <w:rFonts w:ascii="Calibri" w:hAnsi="Calibri"/>
          <w:b/>
          <w:color w:val="16A34A"/>
          <w:sz w:val="28"/>
        </w:rPr>
        <w:t>10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2"/>
            <w:shd w:fill="16A34A" w:val="clear"/>
          </w:tcPr>
          <w:p>
            <w:pPr>
              <w:spacing w:before="0" w:after="0"/>
            </w:pPr>
            <w:r>
              <w:rPr>
                <w:rFonts w:ascii="Calibri" w:hAnsi="Calibri"/>
                <w:b w:val="0"/>
                <w:color w:val="1A2010"/>
                <w:sz w:val="4"/>
              </w:rPr>
            </w:r>
          </w:p>
        </w:tc>
        <w:tc>
          <w:tcPr>
            <w:tcW w:type="dxa" w:w="0"/>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(1/1): Morgan Stanley consistently benchmarks against Goldman Sachs, JPMorgan, and UBS, using competitive pressure to refine its wealth management strategy and technology investments. The firm's approach is to learn from rivals' strengths — adopting AI after seeing fintech innovation, expanding wealth management after observing UBS's model — rather than simply trying to destroy competitors [2].</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(1/2): The transformation from a trading-dominated bank to a wealth management powerhouse — through the Smith Barney acquisition (2009-2013) and E*Trade acquisition (2020) — represents genuine strategic evolution. These moves sacrificed short-term trading dominance for long-term recurring revenue. The shift was incremental over a decade rather than a single transformative pivot [1].</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(1/2): James Gorman's decision to pivot to wealth management when Morgan Stanley was a top-tier trading franchise required genuine courage — the Street questioned whether the firm was ceding competitive ground. The E*Trade acquisition during COVID-19 showed willingness to make bold moves during uncertainty. Pick's early AI investments and integration focus continue this trajectory, though his tenure is too short to fully evaluate [1][2].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Morgan Stanley is a best-in-class financial franchise delivering record results — $70.6B in 2025 revenue with 28% EPS growth, 21.6% ROTCE, and a 68.4% efficiency ratio [1]. The firm's strategic transformation into the world's largest wealth manager ($7.9T client assets, targeting $10T) creates a durable, fee-based recurring revenue model with lower cyclicality than pure investment banking peers. At 12.8x forward P/E with a 2.53% dividend yield growing at 23% CAGR over 5 years, the stock offers compelling value for a franchise earning above its cost of equity [4]. AI deployment across 3,500+ tools is driving advisor productivity gains of 10-15 hours weekly, positioning Morgan Stanley as a technology leader in financial services [2].</w:t>
      </w:r>
    </w:p>
    <w:p>
      <w:pPr>
        <w:spacing w:after="120"/>
      </w:pPr>
      <w:r>
        <w:rPr>
          <w:rFonts w:ascii="Calibri" w:hAnsi="Calibri"/>
          <w:b w:val="0"/>
          <w:color w:val="3A4A28"/>
          <w:sz w:val="20"/>
        </w:rPr>
        <w:t>The bear case centers on cyclical exposure and regulatory risk. Despite the wealth management pivot, ~35% of revenue still comes from Institutional Securities, which is highly sensitive to market conditions and trading volumes. D/E of 456% (typical for banks) creates balance sheet vulnerability in a severe credit cycle. Rising competition from discount brokerages, robo-advisors, and AI-native fintech platforms could compress wealth management fees over time. Regulatory changes — particularly around capital requirements (Basel III endgame) and fiduciary standards — could increase compliance costs. The stock trades below its 50-day SMA of $171.31, suggesting near-term momentum headwinds [4]. Geographic exposure to geopolitical risk across Asia and Europe adds volatility.</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Path to $10T in client assets with continued wealth management inflows and advisor recruitment driving durable fee revenue growth [1]</w:t>
      </w:r>
    </w:p>
    <w:p>
      <w:pPr>
        <w:spacing w:before="40" w:after="40"/>
        <w:ind w:left="283"/>
      </w:pPr>
      <w:r>
        <w:rPr>
          <w:rFonts w:ascii="Calibri" w:hAnsi="Calibri"/>
          <w:b/>
          <w:color w:val="4A6B25"/>
          <w:sz w:val="20"/>
        </w:rPr>
        <w:t xml:space="preserve">2. </w:t>
      </w:r>
      <w:r>
        <w:rPr>
          <w:rFonts w:ascii="Calibri" w:hAnsi="Calibri"/>
          <w:b w:val="0"/>
          <w:color w:val="3A4A28"/>
          <w:sz w:val="20"/>
        </w:rPr>
        <w:t>AI-driven productivity gains across 3,500+ tools, with potential to expand margins as advisor efficiency improves and AI tools reach more of the 83,000-employee workforce [2]</w:t>
      </w:r>
    </w:p>
    <w:p>
      <w:pPr>
        <w:spacing w:before="40" w:after="40"/>
        <w:ind w:left="283"/>
      </w:pPr>
      <w:r>
        <w:rPr>
          <w:rFonts w:ascii="Calibri" w:hAnsi="Calibri"/>
          <w:b/>
          <w:color w:val="4A6B25"/>
          <w:sz w:val="20"/>
        </w:rPr>
        <w:t xml:space="preserve">3. </w:t>
      </w:r>
      <w:r>
        <w:rPr>
          <w:rFonts w:ascii="Calibri" w:hAnsi="Calibri"/>
          <w:b w:val="0"/>
          <w:color w:val="3A4A28"/>
          <w:sz w:val="20"/>
        </w:rPr>
        <w:t>Continued dividend growth — 23% 5yr CAGR with 37.7% payout ratio provides substantial room for further increases alongside share buybacks [4]</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Institutional Securities cyclicality — a prolonged market downturn or trading volume decline could compress ~35% of revenue that remains tied to capital markets activity [1]</w:t>
      </w:r>
    </w:p>
    <w:p>
      <w:pPr>
        <w:spacing w:before="40" w:after="40"/>
        <w:ind w:left="283"/>
      </w:pPr>
      <w:r>
        <w:rPr>
          <w:rFonts w:ascii="Calibri" w:hAnsi="Calibri"/>
          <w:b/>
          <w:color w:val="4A6B25"/>
          <w:sz w:val="20"/>
        </w:rPr>
        <w:t xml:space="preserve">2. </w:t>
      </w:r>
      <w:r>
        <w:rPr>
          <w:rFonts w:ascii="Calibri" w:hAnsi="Calibri"/>
          <w:b w:val="0"/>
          <w:color w:val="3A4A28"/>
          <w:sz w:val="20"/>
        </w:rPr>
        <w:t>Wealth management fee compression from robo-advisors, AI-native fintech competitors, and regulatory pressure on advisory fees [2]</w:t>
      </w:r>
    </w:p>
    <w:p>
      <w:pPr>
        <w:spacing w:before="40" w:after="40"/>
        <w:ind w:left="283"/>
      </w:pPr>
      <w:r>
        <w:rPr>
          <w:rFonts w:ascii="Calibri" w:hAnsi="Calibri"/>
          <w:b/>
          <w:color w:val="4A6B25"/>
          <w:sz w:val="20"/>
        </w:rPr>
        <w:t xml:space="preserve">3. </w:t>
      </w:r>
      <w:r>
        <w:rPr>
          <w:rFonts w:ascii="Calibri" w:hAnsi="Calibri"/>
          <w:b w:val="0"/>
          <w:color w:val="3A4A28"/>
          <w:sz w:val="20"/>
        </w:rPr>
        <w:t>Basel III endgame and evolving capital requirements could increase regulatory capital buffers and constrain capital returns to shareholders [5]</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B8860B"/>
          <w:sz w:val="16"/>
        </w:rPr>
        <w:t xml:space="preserve"> MODERATE </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(6/9): Morgan Stanley's core business faces moderate AI disruption risk. Wealth management advisory relationships, institutional client trust, and regulatory complexity create meaningful moats against AI displacement. However, AI-native fintech competitors could pressure trading, research distribution, and lower-tier advisory services over time. Morgan Stanley's own research notes that AI may ultimately strengthen incumbents with 'established trust and distribution' — the firm itself is positioned to benefit from this dynamic [2]. The 3,500+ AI tools deployed internally demonstrate the firm is an early adopter, not a victim. AI Opportunity (1/1): Morgan Stanley generates meaningful AI-driven productivity gains — advisors save 10-15 hours weekly using AI tools, and the firm's OpenAI partnership creates client-facing AI products across wealth management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DC2626"/>
          <w:sz w:val="28"/>
        </w:rPr>
        <w:t>-67</w:t>
      </w:r>
      <w:r>
        <w:rPr>
          <w:rFonts w:ascii="Calibri" w:hAnsi="Calibri"/>
          <w:b/>
          <w:color w:val="B8860B"/>
          <w:sz w:val="20"/>
        </w:rPr>
        <w:t xml:space="preserve">    MISALIGNED</w:t>
      </w:r>
    </w:p>
    <w:p>
      <w:pPr>
        <w:spacing w:before="80" w:after="40"/>
      </w:pPr>
      <w:r>
        <w:rPr>
          <w:rFonts w:ascii="Calibri" w:hAnsi="Calibri"/>
          <w:b/>
          <w:color w:val="6E8450"/>
          <w:sz w:val="18"/>
        </w:rPr>
        <w:t xml:space="preserve">Negative: </w:t>
      </w:r>
      <w:r>
        <w:rPr>
          <w:rFonts w:ascii="Calibri" w:hAnsi="Calibri"/>
          <w:b/>
          <w:color w:val="DC2626"/>
          <w:sz w:val="17"/>
        </w:rPr>
        <w:t xml:space="preserve"> Abortion Activism </w:t>
      </w:r>
      <w:r>
        <w:rPr>
          <w:rFonts w:ascii="Calibri" w:hAnsi="Calibri"/>
          <w:b w:val="0"/>
          <w:color w:val="9DAF88"/>
          <w:sz w:val="17"/>
        </w:rPr>
        <w:t xml:space="preserve">  ·  </w:t>
      </w:r>
      <w:r>
        <w:rPr>
          <w:rFonts w:ascii="Calibri" w:hAnsi="Calibri"/>
          <w:b/>
          <w:color w:val="DC2626"/>
          <w:sz w:val="17"/>
        </w:rPr>
        <w:t xml:space="preserve"> LGBT Activism </w:t>
      </w:r>
    </w:p>
    <w:p>
      <w:pPr>
        <w:spacing w:before="80" w:after="40"/>
      </w:pPr>
      <w:r>
        <w:rPr>
          <w:rFonts w:ascii="Calibri" w:hAnsi="Calibri"/>
          <w:b/>
          <w:color w:val="6E8450"/>
          <w:sz w:val="18"/>
        </w:rPr>
        <w:t xml:space="preserve">Positive: </w:t>
      </w:r>
      <w:r>
        <w:rPr>
          <w:rFonts w:ascii="Calibri" w:hAnsi="Calibri"/>
          <w:b/>
          <w:color w:val="16A34A"/>
          <w:sz w:val="17"/>
        </w:rPr>
        <w:t xml:space="preserve"> Air Quality </w:t>
      </w:r>
      <w:r>
        <w:rPr>
          <w:rFonts w:ascii="Calibri" w:hAnsi="Calibri"/>
          <w:b w:val="0"/>
          <w:color w:val="9DAF88"/>
          <w:sz w:val="17"/>
        </w:rPr>
        <w:t xml:space="preserve">  ·  </w:t>
      </w:r>
      <w:r>
        <w:rPr>
          <w:rFonts w:ascii="Calibri" w:hAnsi="Calibri"/>
          <w:b/>
          <w:color w:val="16A34A"/>
          <w:sz w:val="17"/>
        </w:rPr>
        <w:t xml:space="preserve"> Business Resilience </w:t>
      </w:r>
      <w:r>
        <w:rPr>
          <w:rFonts w:ascii="Calibri" w:hAnsi="Calibri"/>
          <w:b w:val="0"/>
          <w:color w:val="9DAF88"/>
          <w:sz w:val="17"/>
        </w:rPr>
        <w:t xml:space="preserve">  ·  </w:t>
      </w:r>
      <w:r>
        <w:rPr>
          <w:rFonts w:ascii="Calibri" w:hAnsi="Calibri"/>
          <w:b/>
          <w:color w:val="16A34A"/>
          <w:sz w:val="17"/>
        </w:rPr>
        <w:t xml:space="preserve"> Customer Welfare </w:t>
      </w:r>
      <w:r>
        <w:rPr>
          <w:rFonts w:ascii="Calibri" w:hAnsi="Calibri"/>
          <w:b w:val="0"/>
          <w:color w:val="9DAF88"/>
          <w:sz w:val="17"/>
        </w:rPr>
        <w:t xml:space="preserve">  ·  </w:t>
      </w:r>
      <w:r>
        <w:rPr>
          <w:rFonts w:ascii="Calibri" w:hAnsi="Calibri"/>
          <w:b/>
          <w:color w:val="16A34A"/>
          <w:sz w:val="17"/>
        </w:rPr>
        <w:t xml:space="preserve"> Employee Wellbeing </w:t>
      </w:r>
      <w:r>
        <w:rPr>
          <w:rFonts w:ascii="Calibri" w:hAnsi="Calibri"/>
          <w:b w:val="0"/>
          <w:color w:val="9DAF88"/>
          <w:sz w:val="17"/>
        </w:rPr>
        <w:t xml:space="preserve">  ·  </w:t>
      </w:r>
      <w:r>
        <w:rPr>
          <w:rFonts w:ascii="Calibri" w:hAnsi="Calibri"/>
          <w:b/>
          <w:color w:val="16A34A"/>
          <w:sz w:val="17"/>
        </w:rPr>
        <w:t xml:space="preserve"> Energy Management </w:t>
      </w:r>
      <w:r>
        <w:rPr>
          <w:rFonts w:ascii="Calibri" w:hAnsi="Calibri"/>
          <w:b w:val="0"/>
          <w:color w:val="9DAF88"/>
          <w:sz w:val="17"/>
        </w:rPr>
        <w:t xml:space="preserve">  ·  </w:t>
      </w:r>
      <w:r>
        <w:rPr>
          <w:rFonts w:ascii="Calibri" w:hAnsi="Calibri"/>
          <w:b/>
          <w:color w:val="16A34A"/>
          <w:sz w:val="17"/>
        </w:rPr>
        <w:t xml:space="preserve"> Ethical Supply Chain Management </w:t>
      </w:r>
      <w:r>
        <w:rPr>
          <w:rFonts w:ascii="Calibri" w:hAnsi="Calibri"/>
          <w:b w:val="0"/>
          <w:color w:val="9DAF88"/>
          <w:sz w:val="17"/>
        </w:rPr>
        <w:t xml:space="preserve">  ·  </w:t>
      </w:r>
      <w:r>
        <w:rPr>
          <w:rFonts w:ascii="Calibri" w:hAnsi="Calibri"/>
          <w:b/>
          <w:color w:val="16A34A"/>
          <w:sz w:val="17"/>
        </w:rPr>
        <w:t xml:space="preserve"> GHG Emissions </w:t>
      </w:r>
      <w:r>
        <w:rPr>
          <w:rFonts w:ascii="Calibri" w:hAnsi="Calibri"/>
          <w:b w:val="0"/>
          <w:color w:val="9DAF88"/>
          <w:sz w:val="17"/>
        </w:rPr>
        <w:t xml:space="preserve">  ·  </w:t>
      </w:r>
      <w:r>
        <w:rPr>
          <w:rFonts w:ascii="Calibri" w:hAnsi="Calibri"/>
          <w:b/>
          <w:color w:val="16A34A"/>
          <w:sz w:val="17"/>
        </w:rPr>
        <w:t xml:space="preserve"> Hiring Ethics </w:t>
      </w:r>
      <w:r>
        <w:rPr>
          <w:rFonts w:ascii="Calibri" w:hAnsi="Calibri"/>
          <w:b w:val="0"/>
          <w:color w:val="9DAF88"/>
          <w:sz w:val="17"/>
        </w:rPr>
        <w:t xml:space="preserve">  ·  </w:t>
      </w:r>
      <w:r>
        <w:rPr>
          <w:rFonts w:ascii="Calibri" w:hAnsi="Calibri"/>
          <w:b/>
          <w:color w:val="16A34A"/>
          <w:sz w:val="17"/>
        </w:rPr>
        <w:t xml:space="preserve"> Low Ecological Impact </w:t>
      </w:r>
      <w:r>
        <w:rPr>
          <w:rFonts w:ascii="Calibri" w:hAnsi="Calibri"/>
          <w:b w:val="0"/>
          <w:color w:val="9DAF88"/>
          <w:sz w:val="17"/>
        </w:rPr>
        <w:t xml:space="preserve">  ·  </w:t>
      </w:r>
      <w:r>
        <w:rPr>
          <w:rFonts w:ascii="Calibri" w:hAnsi="Calibri"/>
          <w:b/>
          <w:color w:val="16A34A"/>
          <w:sz w:val="17"/>
        </w:rPr>
        <w:t xml:space="preserve"> Materials Efficiency </w:t>
      </w:r>
      <w:r>
        <w:rPr>
          <w:rFonts w:ascii="Calibri" w:hAnsi="Calibri"/>
          <w:b w:val="0"/>
          <w:color w:val="9DAF88"/>
          <w:sz w:val="17"/>
        </w:rPr>
        <w:t xml:space="preserve">  ·  </w:t>
      </w:r>
      <w:r>
        <w:rPr>
          <w:rFonts w:ascii="Calibri" w:hAnsi="Calibri"/>
          <w:b/>
          <w:color w:val="16A34A"/>
          <w:sz w:val="17"/>
        </w:rPr>
        <w:t xml:space="preserve"> Product Access and Affordability </w:t>
      </w:r>
      <w:r>
        <w:rPr>
          <w:rFonts w:ascii="Calibri" w:hAnsi="Calibri"/>
          <w:b w:val="0"/>
          <w:color w:val="9DAF88"/>
          <w:sz w:val="17"/>
        </w:rPr>
        <w:t xml:space="preserve">  ·  </w:t>
      </w:r>
      <w:r>
        <w:rPr>
          <w:rFonts w:ascii="Calibri" w:hAnsi="Calibri"/>
          <w:b/>
          <w:color w:val="16A34A"/>
          <w:sz w:val="17"/>
        </w:rPr>
        <w:t xml:space="preserve"> Product Sustainability </w:t>
      </w:r>
      <w:r>
        <w:rPr>
          <w:rFonts w:ascii="Calibri" w:hAnsi="Calibri"/>
          <w:b w:val="0"/>
          <w:color w:val="9DAF88"/>
          <w:sz w:val="17"/>
        </w:rPr>
        <w:t xml:space="preserve">  ·  </w:t>
      </w:r>
      <w:r>
        <w:rPr>
          <w:rFonts w:ascii="Calibri" w:hAnsi="Calibri"/>
          <w:b/>
          <w:color w:val="16A34A"/>
          <w:sz w:val="17"/>
        </w:rPr>
        <w:t xml:space="preserve"> Regulatory Adherence </w:t>
      </w:r>
      <w:r>
        <w:rPr>
          <w:rFonts w:ascii="Calibri" w:hAnsi="Calibri"/>
          <w:b w:val="0"/>
          <w:color w:val="9DAF88"/>
          <w:sz w:val="17"/>
        </w:rPr>
        <w:t xml:space="preserve">  ·  </w:t>
      </w:r>
      <w:r>
        <w:rPr>
          <w:rFonts w:ascii="Calibri" w:hAnsi="Calibri"/>
          <w:b/>
          <w:color w:val="16A34A"/>
          <w:sz w:val="17"/>
        </w:rPr>
        <w:t xml:space="preserve"> Systemic Risk Mitigation </w:t>
      </w:r>
      <w:r>
        <w:rPr>
          <w:rFonts w:ascii="Calibri" w:hAnsi="Calibri"/>
          <w:b w:val="0"/>
          <w:color w:val="9DAF88"/>
          <w:sz w:val="17"/>
        </w:rPr>
        <w:t xml:space="preserve">  ·  </w:t>
      </w:r>
      <w:r>
        <w:rPr>
          <w:rFonts w:ascii="Calibri" w:hAnsi="Calibri"/>
          <w:b/>
          <w:color w:val="16A34A"/>
          <w:sz w:val="17"/>
        </w:rPr>
        <w:t xml:space="preserve"> Waste and Hazmat Management </w:t>
      </w:r>
      <w:r>
        <w:rPr>
          <w:rFonts w:ascii="Calibri" w:hAnsi="Calibri"/>
          <w:b w:val="0"/>
          <w:color w:val="9DAF88"/>
          <w:sz w:val="17"/>
        </w:rPr>
        <w:t xml:space="preserve">  ·  </w:t>
      </w:r>
      <w:r>
        <w:rPr>
          <w:rFonts w:ascii="Calibri" w:hAnsi="Calibri"/>
          <w:b/>
          <w:color w:val="16A34A"/>
          <w:sz w:val="17"/>
        </w:rPr>
        <w:t xml:space="preserve"> Water Conservation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Morgan Stanley Q4 2025 and Full-Year 2025 Earnings Release — record $70.6B revenue, $10.32 EPS, 21.6% ROTCE, January 2026</w:t>
      </w:r>
    </w:p>
    <w:p>
      <w:pPr>
        <w:spacing w:before="20" w:after="20"/>
        <w:ind w:left="170"/>
      </w:pPr>
      <w:r>
        <w:rPr>
          <w:rFonts w:ascii="Calibri" w:hAnsi="Calibri"/>
          <w:b/>
          <w:color w:val="4A6B25"/>
          <w:sz w:val="15"/>
        </w:rPr>
        <w:t xml:space="preserve">2. </w:t>
      </w:r>
      <w:r>
        <w:rPr>
          <w:rFonts w:ascii="Calibri" w:hAnsi="Calibri"/>
          <w:b w:val="0"/>
          <w:color w:val="3A4A28"/>
          <w:sz w:val="17"/>
        </w:rPr>
        <w:t>CNBC — Morgan Stanley CEO Ted Pick on AI benefits, Jeff McMillan AI governance, 3,500+ AI tools deployed, 2025-2026</w:t>
      </w:r>
    </w:p>
    <w:p>
      <w:pPr>
        <w:spacing w:before="20" w:after="20"/>
        <w:ind w:left="170"/>
      </w:pPr>
      <w:r>
        <w:rPr>
          <w:rFonts w:ascii="Calibri" w:hAnsi="Calibri"/>
          <w:b/>
          <w:color w:val="4A6B25"/>
          <w:sz w:val="15"/>
        </w:rPr>
        <w:t xml:space="preserve">3. </w:t>
      </w:r>
      <w:r>
        <w:rPr>
          <w:rFonts w:ascii="Calibri" w:hAnsi="Calibri"/>
          <w:b w:val="0"/>
          <w:color w:val="3A4A28"/>
          <w:sz w:val="17"/>
        </w:rPr>
        <w:t>Glassdoor — Morgan Stanley Reviews, 19,501 reviews, 3.9/5 rating, 78% recommend, accessed March 2026</w:t>
      </w:r>
    </w:p>
    <w:p>
      <w:pPr>
        <w:spacing w:before="20" w:after="20"/>
        <w:ind w:left="170"/>
      </w:pPr>
      <w:r>
        <w:rPr>
          <w:rFonts w:ascii="Calibri" w:hAnsi="Calibri"/>
          <w:b/>
          <w:color w:val="4A6B25"/>
          <w:sz w:val="15"/>
        </w:rPr>
        <w:t xml:space="preserve">4. </w:t>
      </w:r>
      <w:r>
        <w:rPr>
          <w:rFonts w:ascii="Calibri" w:hAnsi="Calibri"/>
          <w:b w:val="0"/>
          <w:color w:val="3A4A28"/>
          <w:sz w:val="17"/>
        </w:rPr>
        <w:t>Yahoo Finance / yfinance — MS key statistics and dividend history, accessed March 2026</w:t>
      </w:r>
    </w:p>
    <w:p>
      <w:pPr>
        <w:spacing w:before="20" w:after="20"/>
        <w:ind w:left="170"/>
      </w:pPr>
      <w:r>
        <w:rPr>
          <w:rFonts w:ascii="Calibri" w:hAnsi="Calibri"/>
          <w:b/>
          <w:color w:val="4A6B25"/>
          <w:sz w:val="15"/>
        </w:rPr>
        <w:t xml:space="preserve">5. </w:t>
      </w:r>
      <w:r>
        <w:rPr>
          <w:rFonts w:ascii="Calibri" w:hAnsi="Calibri"/>
          <w:b w:val="0"/>
          <w:color w:val="3A4A28"/>
          <w:sz w:val="17"/>
        </w:rPr>
        <w:t>Sustainalytics — Morgan Stanley ESG Risk Rating, 'Strong' management of ESG material risk, accessed March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