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MTDR</w:t>
      </w:r>
      <w:r>
        <w:rPr>
          <w:rFonts w:ascii="Calibri" w:hAnsi="Calibri"/>
          <w:b/>
          <w:color w:val="1A2010"/>
          <w:sz w:val="40"/>
        </w:rPr>
        <w:t xml:space="preserve">  Matador Resources Company</w:t>
      </w:r>
    </w:p>
    <w:p>
      <w:pPr>
        <w:spacing w:after="120"/>
      </w:pPr>
      <w:r>
        <w:rPr>
          <w:rFonts w:ascii="Calibri" w:hAnsi="Calibri"/>
          <w:b/>
          <w:color w:val="6E8450"/>
          <w:sz w:val="18"/>
        </w:rPr>
        <w:t>DIVIDEND SLEEVE · 2026-04-21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Matador Resources is an independent E&amp;P company focused on the acquisition, exploration, development, and production of oil and natural gas resources, primarily in the Delaware Basin (Wolfcamp and Bone Spring plays) in Southeast New Mexico and West Texas. The company also operates midstream assets providing gathering, processing, and transportation services.</w:t>
      </w:r>
    </w:p>
    <w:p>
      <w:r>
        <w:rPr>
          <w:rFonts w:ascii="Calibri" w:hAnsi="Calibri"/>
          <w:b/>
          <w:color w:val="6E8450"/>
          <w:sz w:val="18"/>
        </w:rPr>
        <w:t>483 Employees · https://www.matadorresources.com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Matador completed the transformative $1.9B acquisition of Ameredev II in 2024, significantly expanding its Delaware Basin acreage and production base, and grew total revenue from $2.8B (2023) to $3.66B (2025) [1][2]. The midstream segment build-out (San Mateo) has been a successful business model extension. AI Deployment (0/2): No evidence of AI-powered products, AI-driven cost savings, or meaningful AI strategy in operations or drilling optimization [3]. Market Share (2/2): Matador is a leading Delaware Basin operator with ~122,000 bbl/d oil production guidance for 2026 and one of the most efficient drilling programs in the Permian, achieving a 13% reduction in drill-and-complete timing [2]. Pipeline (1/2): 2026 operating plan targets 3% oil production growth with 11% capex reduction and $795/lateral foot D&amp;C costs (6% reduction), but no transformative next-gen products or new basin entries announced [2]. R&amp;D Intensity (0/1): As an E&amp;P company, Matador does not report meaningful R&amp;D spending; innovation comes through operational efficiency rather than formal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Matador's stated purpose centers on responsible energy development and shareholder value creation — functional but generic and interchangeable with any E&amp;P peer. No distinctive vision of a better future beyond profitable hydrocarbon extraction [4]. Community Impact (1/2): Matador publishes a sustainability report using SASB standards, reports 59 average hours of continuing education per employee, and maintains operations that support communities in Southeast New Mexico and West Texas [5]. However, no distinctive charitable foundation or community investment programs were identified. Employee Retention (0/2): Glassdoor reviews paint a concerning picture — 2.2/5 for work-life balance and 2.4/5 for culture and values. Multiple reviews cite a toxic culture driven by CEO Joseph Foran's micromanagement style, including no HR department and all decisions funneled through the CEO [3]. Insider Buying (2/2): Insiders hold 7.1% of shares, and CEO Foran has historically maintained significant personal ownership, demonstrating long-term conviction in the company's Delaware Basin asset base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Matador's financial profile is exceptionally strong for an E&amp;P company. D/E of 59.2% is well below the 70% target, and forward P/E of 6.9x reflects deep value pricing for a profitable producer [1]. ROE of 15.0% hits the target threshold, and profit margin of 20.8% exceeds the 20% target [1]. Revenue grew 5.1% YoY to $3.66B in 2025, below the 10% target but above floor. The 2026 operating plan emphasizes capital efficiency — 11% capex reduction while maintaining 3% oil production growth and achieving $795/lateral foot drilling costs [2]. Dividend program is young (~5 years) with a conservative 21.6% payout ratio and explosive growth (quarterly dividend increased from $0.025 in 2021 to $0.375 in Q4 2025). The short dividend history (5 years paid, 5 years growth) weighs against a perfect score. Liquidity floor easily cleared: 1.94M avg vol × $56.44 = $109.6M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Matador under founder-CEO Joseph Foran plays a mixed game — the company demonstrates long-term commitment to the Delaware Basin with patient acreage accumulation over two decades, but the autocratic leadership style and poor cultural scores suggest a finite approach to people management. The 2024 Ameredev acquisition shows willingness to invest for the long term, but the company's purpose remains tied to hydrocarbon extraction without a broader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Matador exists to develop oil and gas resources profitably in the Delaware Basin. While the company has demonstrated 20+ years of commitment to its basin strategy under founder Foran, this is a business strategy rather than a just cause — it doesn't articulate a vision of a better future or invite others to contribute to something larger than the company [4]. The mission is indistinguishable from any well-run E&amp;P company.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consistently describe a low-trust environment driven by CEO Foran's micromanagement. Employees report no HR department, all decisions (including pay, bonuses, and leave) made personally by the CEO, and a culture that 'hates change' [3]. The 2.4/5 culture rating and descriptions of the CEO's 'legendary temper' suggest employees spend energy protecting themselves rather than advancing the organization's mission.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Matador acknowledges peers like Pioneer Natural Resources, Diamondback Energy, and other Delaware Basin operators, using competitive benchmarking on drilling efficiency (D&amp;C costs per lateral foot) and capital efficiency to drive operational improvement [2]. The company's focus on achieving $795/lateral foot costs and 13% timing reduction reflects a mindset of continuous improvement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Matador has demonstrated incremental flexibility — building out the San Mateo midstream business from scratch to support operations and generate third-party revenue, and completing the transformative $1.9B Ameredev II acquisition in 2024 [2]. However, the company remains firmly within the E&amp;P business model and has not faced or passed a true existential flexibility test that required abandoning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Matador's 2026 operating plan shows discipline — choosing to reduce capex by 11% while maintaining production growth, prioritizing capital efficiency over aggressive growth [2]. The $1.9B Ameredev acquisition in 2024 was a bold long-term bet on the Delaware Basin. However, there is limited evidence of leadership sacrificing short-term earnings for long-term capability beyond standard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Matador Resources offers deep value in the Permian Basin with a forward P/E of 6.9x, D/E of 59%, and profit margin of 20.8% — one of the most financially sound small-cap E&amp;P companies [1]. The 2026 operating plan delivers 3% oil production growth to ~123,000 bbl/d while cutting total capex by 11% and achieving $795/lateral foot D&amp;C costs (6% reduction), demonstrating improving capital efficiency [2]. Q4 2025 EPS of $0.87 beat consensus by 10%, and the dividend has grown from $0.10/year in 2021 to $1.50/year in 2025, reflecting management's confidence in free cash flow generation. The $1.9B Ameredev II acquisition positions Matador as a scaled Delaware Basin operator with decades of drilling inventory.</w:t>
      </w:r>
    </w:p>
    <w:p>
      <w:pPr>
        <w:spacing w:after="120"/>
      </w:pPr>
      <w:r>
        <w:rPr>
          <w:rFonts w:ascii="Calibri" w:hAnsi="Calibri"/>
          <w:b w:val="0"/>
          <w:color w:val="3A4A28"/>
          <w:sz w:val="20"/>
        </w:rPr>
        <w:t>The bear case centers on commodity price exposure and leadership risk. Revenue declined 12.5% sequentially in Q4 2025 driven by lower realized oil prices, and free cash flow turned negative (-$170M) as Ameredev integration costs and elevated capex consumed operating cash flow [1]. Glassdoor reviews paint a troubling culture picture — 2.2/5 work-life balance and 2.4/5 culture ratings with employees describing CEO Foran's management as autocratic and toxic [3]. The company has no HR department, creating succession risk given Foran's central role. Net debt of $3.5B against $15M cash leaves minimal financial cushion if commodity prices decline materially. The 483-person workforce is lean but the 9.3% short interest suggests meaningful skepticism from the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capital efficiency gains — 11% capex reduction with 3% oil production growth and $795/lateral foot D&amp;C costs demonstrate operational leverage that should expand free cash flow as Ameredev integration completes [2]</w:t>
      </w:r>
    </w:p>
    <w:p>
      <w:pPr>
        <w:spacing w:before="40" w:after="40"/>
        <w:ind w:left="283"/>
      </w:pPr>
      <w:r>
        <w:rPr>
          <w:rFonts w:ascii="Calibri" w:hAnsi="Calibri"/>
          <w:b/>
          <w:color w:val="4A6B25"/>
          <w:sz w:val="20"/>
        </w:rPr>
        <w:t xml:space="preserve">2. </w:t>
      </w:r>
      <w:r>
        <w:rPr>
          <w:rFonts w:ascii="Calibri" w:hAnsi="Calibri"/>
          <w:b w:val="0"/>
          <w:color w:val="3A4A28"/>
          <w:sz w:val="20"/>
        </w:rPr>
        <w:t>Dividend growth trajectory — quarterly dividend has increased 15x since initiation in 2021, signaling management's confidence in sustainable free cash flow generation and potential for further increases [1]</w:t>
      </w:r>
    </w:p>
    <w:p>
      <w:pPr>
        <w:spacing w:before="40" w:after="40"/>
        <w:ind w:left="283"/>
      </w:pPr>
      <w:r>
        <w:rPr>
          <w:rFonts w:ascii="Calibri" w:hAnsi="Calibri"/>
          <w:b/>
          <w:color w:val="4A6B25"/>
          <w:sz w:val="20"/>
        </w:rPr>
        <w:t xml:space="preserve">3. </w:t>
      </w:r>
      <w:r>
        <w:rPr>
          <w:rFonts w:ascii="Calibri" w:hAnsi="Calibri"/>
          <w:b w:val="0"/>
          <w:color w:val="3A4A28"/>
          <w:sz w:val="20"/>
        </w:rPr>
        <w:t>Delaware Basin inventory depth — Ameredev II acquisition provides multi-decade drilling runway in the core of the Permian Basin, supporting sustained production at lower capital intensity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Matador has no hedging program details disclosed, and revenue is directly tied to WTI oil and Henry Hub natural gas prices, which could decline materially in a global recession [1]</w:t>
      </w:r>
    </w:p>
    <w:p>
      <w:pPr>
        <w:spacing w:before="40" w:after="40"/>
        <w:ind w:left="283"/>
      </w:pPr>
      <w:r>
        <w:rPr>
          <w:rFonts w:ascii="Calibri" w:hAnsi="Calibri"/>
          <w:b/>
          <w:color w:val="4A6B25"/>
          <w:sz w:val="20"/>
        </w:rPr>
        <w:t xml:space="preserve">2. </w:t>
      </w:r>
      <w:r>
        <w:rPr>
          <w:rFonts w:ascii="Calibri" w:hAnsi="Calibri"/>
          <w:b w:val="0"/>
          <w:color w:val="3A4A28"/>
          <w:sz w:val="20"/>
        </w:rPr>
        <w:t>Leadership and culture risk — CEO Joseph Foran's autocratic management style (no HR department, all decisions centralized) creates key-man risk and limits organizational scalability, with Glassdoor rating of 2.4/5 for culture [3]</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 FCF of -$170M in 2025 driven by Ameredev integration costs and elevated capex; if capital efficiency targets are not met, the balance sheet could come under pressure given $3.5B net debt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Matador's core business — drilling, completing, and producing oil and gas wells in the Delaware Basin — involves physical-world operations that AI cannot substitute. Hydrocarbons must be physically extracted from underground reservoirs, transported through pipelines, and processed at facilities. The company's midstream infrastructure (San Mateo) represents tangible assets with high replacement cost [2]. AI could modestly enhance drilling optimization and reservoir modeling, but poses zero substitution risk to the fundamental business. Increasing AI data center demand for electricity may indirectly benefit natural gas producers. AI Opportunity (0/1): No evidence of AI-generated revenue or AI-powered products sold to customers. Matador has not announced any AI initiatives that generate measurable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MTDR (Matador Resources), retrieved April 21, 2026</w:t>
      </w:r>
    </w:p>
    <w:p>
      <w:pPr>
        <w:spacing w:before="20" w:after="20"/>
        <w:ind w:left="170"/>
      </w:pPr>
      <w:r>
        <w:rPr>
          <w:rFonts w:ascii="Calibri" w:hAnsi="Calibri"/>
          <w:b/>
          <w:color w:val="4A6B25"/>
          <w:sz w:val="15"/>
        </w:rPr>
        <w:t xml:space="preserve">2. </w:t>
      </w:r>
      <w:r>
        <w:rPr>
          <w:rFonts w:ascii="Calibri" w:hAnsi="Calibri"/>
          <w:b w:val="0"/>
          <w:color w:val="3A4A28"/>
          <w:sz w:val="17"/>
        </w:rPr>
        <w:t>Matador Resources Q4 2025 / Full Year 2025 Earnings Release and 2026 Operating Plan, February 25,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Matador Resources,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Matador Resources Company Website — Corporate Governance and Mission,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Matador Resources 2023 Sustainability Report — SASB Standards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