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MTG</w:t>
      </w:r>
      <w:r>
        <w:rPr>
          <w:rFonts w:ascii="Calibri" w:hAnsi="Calibri"/>
          <w:b/>
          <w:color w:val="1A2010"/>
          <w:sz w:val="40"/>
        </w:rPr>
        <w:t xml:space="preserve">  MGIC Investment Corporation</w:t>
      </w:r>
    </w:p>
    <w:p>
      <w:pPr>
        <w:spacing w:after="120"/>
      </w:pPr>
      <w:r>
        <w:rPr>
          <w:rFonts w:ascii="Calibri" w:hAnsi="Calibri"/>
          <w:b/>
          <w:color w:val="6E8450"/>
          <w:sz w:val="18"/>
        </w:rPr>
        <w:t>DIVIDEND SLEEVE · 2026-04-16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MGIC Investment Corporation, through its subsidiary Mortgage Guaranty Insurance Corporation, provides private mortgage insurance and other mortgage credit risk management solutions in the United States. The company insures mortgage default risk for lenders on residential first mortgages with loan-to-value ratios exceeding 80%, enabling homebuyers to purchase homes with less than 20% down payments.</w:t>
      </w:r>
    </w:p>
    <w:p>
      <w:r>
        <w:rPr>
          <w:rFonts w:ascii="Calibri" w:hAnsi="Calibri"/>
          <w:b/>
          <w:color w:val="6E8450"/>
          <w:sz w:val="18"/>
        </w:rPr>
        <w:t>542 Employees · https://www.mgic.com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operates the same private mortgage insurance business it has run for decades with no meaningful product launches, market pivots, or business model transformations in the last 5 years (0 points on track record) [1]. No AI deployment with measurable results — underwriting remains traditional actuarial-based (0 points). MGIC is a top-tier private mortgage insurer in the US alongside Radian and Essent, earning 1 point for market share leadership in a regulated niche [1]. No next-gen products with specific timelines discussed (0 points). R&amp;D spending is minimal as a financial services company relying on actuarial expertise, not technology innovation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MGIC's mission centers on 'supporting borrowers in sustainable homeownership' and developing 'vibrant, diverse and sustainable communities' — clear and connected to a social good (homeownership accessibility) but not deeply distinctive among mortgage insurers, earning a mission floor of 2 [3]. The company's community development programs focused on housing affordability and its ESG commitment to sustainable homeownership demonstrate genuine charitable alignment (1 point) [3]. Glassdoor reviews describe a 'warm, positive, and collaborative environment' with good work-life balance, flexible hours, and hybrid options, suggesting above-average retention (1 point) [4]. No evidence of meaningful net insider buying in the last 12 months (0 points).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MGIC's financial profile is exceptionally strong for a specialty insurer. D/E of only 12.6% reflects a fortress balance sheet rebuilt after the 2008 crisis [2]. Profit margin of 60.8% is outstanding. Forward P/E of 8.1x is deeply discounted despite stable earnings. ROE of 14.3% is just below the 15% target. Revenue declined only 0.9% YoY, reflecting stable insurance-in-force. The 17.8% payout ratio provides ample coverage for the 2.2% dividend yield with significant room for growth — quarterly dividends have grown from $0.10 to $0.15 over three years (~17% CAGR). The only weakness is the relatively short dividend history since reinstatement (~6 years consecutive).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MGIC operates a stable, well-run mortgage insurance business with genuine community purpose around homeownership accessibility, but its strategic thinking is fundamentally finite — optimizing the existing business model through capital return rather than investing in transformative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MGIC's purpose around 'sustainable homeownership' connects mortgage insurance to the broader social good of housing accessibility, and the company's survival through the 2008 financial crisis validates endurance (1 point) [3]. However, this purpose is industry-standard for mortgage insurers and does not differentiate MGIC from Radian or Essent. Management discussions focus on insurance-in-force, loss ratios, and capital return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'warm, positive, and collaborative environment' with strong work-life balance, flexible hours, and hybrid work options [4]. CEO Tim Mattke has held the role since 2019 with internal promotion from CFO, providing leadership continuity. However, some reviews note the company has shifted from 'trailblazer to conventional' with slow decision-making and resistance to change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operates in a concentrated private mortgage insurance market alongside Radian, Essent, and National MI but shows no evidence of acknowledging rivals' strengths as motivation for self-improvement. Competitive language focuses on market share and pricing rather than learning from competitors (0 points)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has operated the same private mortgage insurance business model for over 50 years with no significant diversification or strategic reinvention. The company's near-death experience during the 2008 financial crisis did not trigger a fundamental business model pivot — it simply rebuilt capital and continued the same business. No transformative flexibility demonstrated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MGIC's survival through the 2008-2012 housing crisis — when the company faced potential insolvency, suspended dividends, and rebuilt capital over a decade — required difficult decisions under existential pressure (1 point) [1]. The subsequent reinstatement of dividends and aggressive share buybacks demonstrate confidence in long-term viability. However, the recovery was survival-driven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MGIC at 8.1x forward earnings with a 60.8% profit margin and 12.6% D/E ratio offers deep value in a regulated mortgage insurance franchise with structural demand from the conventional mortgage market [1][2]. The 17.8% payout ratio provides massive headroom for dividend growth — the quarterly dividend has already grown 50% from $0.10 to $0.15 over three years. Share buybacks further enhance capital return. With housing supply remaining structurally tight and homeownership demand resilient among millennials, MGIC's insurance-in-force should remain stable even in a higher-rate environment.</w:t>
      </w:r>
    </w:p>
    <w:p>
      <w:pPr>
        <w:spacing w:after="120"/>
      </w:pPr>
      <w:r>
        <w:rPr>
          <w:rFonts w:ascii="Calibri" w:hAnsi="Calibri"/>
          <w:b w:val="0"/>
          <w:color w:val="3A4A28"/>
          <w:sz w:val="20"/>
        </w:rPr>
        <w:t>The bear case centers on cyclical housing risk and business model stagnation. Revenue declined 0.9% YoY with analyst forecasts projecting only 1.5% annual revenue growth and 3.7% annual earnings decline over the near term [1]. MGIC's business is entirely dependent on new mortgage origination volumes, which remain suppressed by elevated interest rates — any prolonged housing downturn would directly impact insurance-in-force and premiums written. The company has no product diversification beyond private mortgage insurance, making it fully exposed to GSE policy changes that could reduce or eliminate the PMI requirement. ROE of 14.3% is adequate but not exceptional for a financial services company, and the innovation score of 1 reflects a company that has not evolved its business model in decades.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interest rate cuts in 2026 could revive mortgage origination volumes, directly increasing new insurance written and reversing the revenue decline trend [1]</w:t>
      </w:r>
    </w:p>
    <w:p>
      <w:pPr>
        <w:spacing w:before="40" w:after="40"/>
        <w:ind w:left="283"/>
      </w:pPr>
      <w:r>
        <w:rPr>
          <w:rFonts w:ascii="Calibri" w:hAnsi="Calibri"/>
          <w:b/>
          <w:color w:val="4A6B25"/>
          <w:sz w:val="20"/>
        </w:rPr>
        <w:t xml:space="preserve">2. </w:t>
      </w:r>
      <w:r>
        <w:rPr>
          <w:rFonts w:ascii="Calibri" w:hAnsi="Calibri"/>
          <w:b w:val="0"/>
          <w:color w:val="3A4A28"/>
          <w:sz w:val="20"/>
        </w:rPr>
        <w:t>Continued aggressive dividend growth from the 17.8% payout ratio — management has tripled the quarterly dividend from $0.05 to $0.15 since 2022, with room for further increases</w:t>
      </w:r>
    </w:p>
    <w:p>
      <w:pPr>
        <w:spacing w:before="40" w:after="40"/>
        <w:ind w:left="283"/>
      </w:pPr>
      <w:r>
        <w:rPr>
          <w:rFonts w:ascii="Calibri" w:hAnsi="Calibri"/>
          <w:b/>
          <w:color w:val="4A6B25"/>
          <w:sz w:val="20"/>
        </w:rPr>
        <w:t xml:space="preserve">3. </w:t>
      </w:r>
      <w:r>
        <w:rPr>
          <w:rFonts w:ascii="Calibri" w:hAnsi="Calibri"/>
          <w:b w:val="0"/>
          <w:color w:val="3A4A28"/>
          <w:sz w:val="20"/>
        </w:rPr>
        <w:t>Structural housing supply shortage and millennial household formation sustaining demand for mortgage insurance even in a higher-rate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high interest rates suppressing mortgage origination volumes — every 50bp increase in mortgage rates reduces purchase applications by an estimated 5-8%, directly impacting new insurance written [1]</w:t>
      </w:r>
    </w:p>
    <w:p>
      <w:pPr>
        <w:spacing w:before="40" w:after="40"/>
        <w:ind w:left="283"/>
      </w:pPr>
      <w:r>
        <w:rPr>
          <w:rFonts w:ascii="Calibri" w:hAnsi="Calibri"/>
          <w:b/>
          <w:color w:val="4A6B25"/>
          <w:sz w:val="20"/>
        </w:rPr>
        <w:t xml:space="preserve">2. </w:t>
      </w:r>
      <w:r>
        <w:rPr>
          <w:rFonts w:ascii="Calibri" w:hAnsi="Calibri"/>
          <w:b w:val="0"/>
          <w:color w:val="3A4A28"/>
          <w:sz w:val="20"/>
        </w:rPr>
        <w:t>GSE reform or policy changes reducing or eliminating the private mortgage insurance requirement for conventional loans, which would be an existential threat to the business model</w:t>
      </w:r>
    </w:p>
    <w:p>
      <w:pPr>
        <w:spacing w:before="40" w:after="40"/>
        <w:ind w:left="283"/>
      </w:pPr>
      <w:r>
        <w:rPr>
          <w:rFonts w:ascii="Calibri" w:hAnsi="Calibri"/>
          <w:b/>
          <w:color w:val="4A6B25"/>
          <w:sz w:val="20"/>
        </w:rPr>
        <w:t xml:space="preserve">3. </w:t>
      </w:r>
      <w:r>
        <w:rPr>
          <w:rFonts w:ascii="Calibri" w:hAnsi="Calibri"/>
          <w:b w:val="0"/>
          <w:color w:val="3A4A28"/>
          <w:sz w:val="20"/>
        </w:rPr>
        <w:t>Rising unemployment or housing price correction increasing loss incidence and severity on the $293B insurance-in-force portfolio, echoing the 2008-2012 crisis that nearly destroyed the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Private mortgage insurance is a deeply regulated financial product — PMI is mandated by law for conventional mortgages with less than 20% down payment, and mortgage insurers must maintain state-approved capital reserves and actuarial standards [1]. AI cannot substitute for the regulatory requirement to carry mortgage insurance, making the core business structurally protected (7 points risk protection). However, AI-powered underwriting and automated risk assessment tools from insurtechs could gradually pressure MGIC's traditional actuarial processes, and GSE policy changes could alter the PMI requirement landscape. MGIC generates no revenue from AI products or services (0 points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MGIC Investment Q4 CY2025 Earnings Report,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MTG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MGIC Investment Corporate Sustainability and ESG Report,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MGIC Investment Glassdoor Employee Reviews,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