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MTH</w:t>
      </w:r>
      <w:r>
        <w:rPr>
          <w:rFonts w:ascii="Calibri" w:hAnsi="Calibri"/>
          <w:b/>
          <w:color w:val="1A2010"/>
          <w:sz w:val="40"/>
        </w:rPr>
        <w:t xml:space="preserve">  Meritage Homes Corporation</w:t>
      </w:r>
    </w:p>
    <w:p>
      <w:pPr>
        <w:spacing w:after="120"/>
      </w:pPr>
      <w:r>
        <w:rPr>
          <w:rFonts w:ascii="Calibri" w:hAnsi="Calibri"/>
          <w:b/>
          <w:color w:val="6E8450"/>
          <w:sz w:val="18"/>
        </w:rPr>
        <w:t>DIVIDEND SLEEVE · 2026-05-05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Residential Construction · NYSE · United States</w:t>
      </w:r>
    </w:p>
    <w:p>
      <w:pPr>
        <w:spacing w:after="80"/>
      </w:pPr>
      <w:r>
        <w:rPr>
          <w:rFonts w:ascii="Calibri" w:hAnsi="Calibri"/>
          <w:b w:val="0"/>
          <w:color w:val="3A4A28"/>
          <w:sz w:val="20"/>
        </w:rPr>
        <w:t>Meritage Homes designs and builds single-family attached and detached homes for entry-level and first move-up buyers across 12 U.S. states. Operating through Homebuilding and Financial Services segments, the company focuses on move-in ready spec homes with ENERGY STAR certification. Founded in 1985, headquartered in Scottsdale, Arizona, with record 345 active communities.</w:t>
      </w:r>
    </w:p>
    <w:p>
      <w:r>
        <w:rPr>
          <w:rFonts w:ascii="Calibri" w:hAnsi="Calibri"/>
          <w:b/>
          <w:color w:val="6E8450"/>
          <w:sz w:val="18"/>
        </w:rPr>
        <w:t>1,860 Employees · https://www.meritagehomes.com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Q1 2026 revenue declined 17% to $1.108B with EPS falling 55% to $0.82, reflecting challenging market conditions including severe winter storms and geopolitical events impacting consumer sentiment [1]. Full year 2026 guidance updated to flat or within 5% of 2025. The business is cyclically stressed. AI Deployment (0/2): No evidence of AI-powered products or meaningful AI-driven operational savings. Homebuilding remains a labor and materials-intensive physical business. Market Share (1/2): Meritage is a top-10 U.S. public homebuilder with a focus on entry-level and first move-up segments. Record community count of 345 (up 19% YoY) demonstrates continued land pipeline investment [1]. Pipeline (2/2): The 19% expansion in community count provides clear revenue visibility — 345 communities will drive closings in 2026-2027 as market conditions normalize [1]. Specific geographic expansion into Alabama, Mississippi, and other markets adds growth vectors. R&amp;D Intensity (1/1): Meritage's ENERGY STAR focus (average HERS score of 52, eleven-time EPA Partner of the Year) represents industry-leading innovation in sustainable building practices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Meritage's mission centers on providing affordable, energy-efficient homes for entry-level buyers — clear and purposeful but not deeply distinctive in the homebuilder space [3]. Community Impact (2/2): Meritage partners with Operation Homefront to build and donate mortgage-free energy-efficient homes to military veterans and families [3]. Delivered 13,308 ENERGY STAR certified homes in 2025, directly reducing homeowner energy costs. Employee Retention (1/2): Great Place to Work Certified for the first time, with 3.9/5 Glassdoor rating and 68% recommend rate — above average for construction industry [2]. Launched inaugural employee resource groups. Insider Buying (1/2): CEO Phillippe Lord was recently added to the Board of Directors, aligning governance with operational leadership and maintaining significant equity exposure through $11.97M total compensation (91.6% equity-based)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Meritage presents a mixed financial picture with strong structural metrics offset by cyclical pressures. D/E of 37.3% is conservative for a homebuilder [4]. Forward P/E of 9.66x is deeply discounted, reflecting market pessimism about the housing cycle. PEG of 0.54 suggests the stock is significantly undervalued relative to expected earnings recovery. Revenue declined 17.7% YoY in Q1 2026, compressing profit margin to 6.9% and ROE to 7.5% [1]. However, the dividend profile is favorable — yield of 3.05%, payout ratio of ~37%, and strong dividend growth (~20.7% CAGR over 5 years) [4]. Gross margin compressed to 17.5% from 22% due to elevated incentives. Liquidity floor cleared: $60.8M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Meritage Homes demonstrates moderate infinite game characteristics. The company's focus on entry-level buyers and energy efficiency reflects a longer-term view than pure land speculation, but the homebuilding industry's inherent cyclicality and quarterly earnings focus limit true infinite game orientation. The record 345 communities show commitment to growth through cycles.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Meritage's focus on affordable, energy-efficient homes for entry-level and first move-up buyers serves a genuine societal need — helping families achieve homeownership with lower ongoing energy costs [3]. The ENERGY STAR commitment (average HERS score of 52) and Operation Homefront veteran housing program demonstrate purpose beyond profit. However, homebuilding is ultimately a transactional business and the cause hasn't been tested through existential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Great Place to Work Certification and 3.9/5 Glassdoor rating indicate above-average employee satisfaction for the construction industry [2]. 68% of employees recommend working at Meritage and 65% have positive business outlook. However, some reviews cite leadership communication issues and disconnect between corporate values and field experience.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Meritage operates alongside worthy rivals D.R. Horton, Lennar, NVR, and Toll Brothers. Management acknowledges competitive dynamics and positions Meritage's spec-home/move-in-ready strategy as differentiated rather than superior, using competitive intelligence to refine incentive and pricing strategies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Meritage has meaningfully evolved over its 40-year history — pivoting from luxury custom homes to entry-level/first move-up spec construction, integrating ENERGY STAR as a core differentiator, and building in-house financial services [1][3]. The shift to 100% spec/move-in-ready inventory was a strategic bet that simplified operations and reduced cycle times.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19% community count expansion during a period of cyclical decline shows willingness to invest counter-cyclically [1]. However, publicly updating guidance to 'flat or within 5% of 2025' and increasing incentives rather than holding pricing suggests reactive management to market conditions rather than courageous long-term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Meritage Homes trades at a deeply discounted 9.66x forward P/E with 0.54 PEG ratio, reflecting maximum pessimism about the housing cycle following Q1 2026 revenue decline of 17% and EPS decline of 55% [1][4]. The investment case rests on cyclical recovery: record 345 active communities (up 19% YoY) provide embedded revenue growth as mortgage rates normalize and consumer sentiment recovers. D/E of only 37.3% gives Meritage one of the cleanest balance sheets among public homebuilders, enabling counter-cyclical land investment. The 3.05% dividend yield with ~21% 5yr CAGR provides income while waiting for recovery. Entry-level focus serves the largest demographic demand segment (millennials and Gen Z first-time buyers), and ENERGY STAR certification (HERS 52) differentiates from peers on operating costs.</w:t>
      </w:r>
    </w:p>
    <w:p>
      <w:pPr>
        <w:spacing w:after="120"/>
      </w:pPr>
      <w:r>
        <w:rPr>
          <w:rFonts w:ascii="Calibri" w:hAnsi="Calibri"/>
          <w:b w:val="0"/>
          <w:color w:val="3A4A28"/>
          <w:sz w:val="20"/>
        </w:rPr>
        <w:t>The bear case centers on housing affordability crisis and margin compression. Gross margin compressed from 22% to 17.5% in Q1 2026 as elevated incentives were needed to drive absorption [1]. If mortgage rates remain elevated (7%+) through 2026, the record community count becomes a liability rather than an asset — carrying costs on unsold inventory accumulate. Revenue guidance of 'flat or within 5% of 2025' suggests no near-term inflection. Profit margin of 6.9% and ROE of 7.5% are well below historical levels, and recovery timing is uncertain. Geopolitical uncertainty (referenced as 'military operations in Iran' in Q1 call) and tariff impacts on building materials could further compress margins [1]. Entry-level buyer dependence creates acute sensitivity to mortgage rates and employment conditions. The dividend payment history is relatively short (6 years) compared to established dividend aristocrats.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Mortgage rate normalization below 6.5% would unlock pent-up entry-level demand and allow margin recovery from current 17.5% gross margin toward historical 22%+ levels [1]</w:t>
      </w:r>
    </w:p>
    <w:p>
      <w:pPr>
        <w:spacing w:before="40" w:after="40"/>
        <w:ind w:left="283"/>
      </w:pPr>
      <w:r>
        <w:rPr>
          <w:rFonts w:ascii="Calibri" w:hAnsi="Calibri"/>
          <w:b/>
          <w:color w:val="4A6B25"/>
          <w:sz w:val="20"/>
        </w:rPr>
        <w:t xml:space="preserve">2. </w:t>
      </w:r>
      <w:r>
        <w:rPr>
          <w:rFonts w:ascii="Calibri" w:hAnsi="Calibri"/>
          <w:b w:val="0"/>
          <w:color w:val="3A4A28"/>
          <w:sz w:val="20"/>
        </w:rPr>
        <w:t>Record 345 community count (19% YoY growth) provides embedded revenue acceleration once absorption rates normalize — each community represents $10-15M annual revenue potential [1]</w:t>
      </w:r>
    </w:p>
    <w:p>
      <w:pPr>
        <w:spacing w:before="40" w:after="40"/>
        <w:ind w:left="283"/>
      </w:pPr>
      <w:r>
        <w:rPr>
          <w:rFonts w:ascii="Calibri" w:hAnsi="Calibri"/>
          <w:b/>
          <w:color w:val="4A6B25"/>
          <w:sz w:val="20"/>
        </w:rPr>
        <w:t xml:space="preserve">3. </w:t>
      </w:r>
      <w:r>
        <w:rPr>
          <w:rFonts w:ascii="Calibri" w:hAnsi="Calibri"/>
          <w:b w:val="0"/>
          <w:color w:val="3A4A28"/>
          <w:sz w:val="20"/>
        </w:rPr>
        <w:t>Deep value re-rating — at 9.66x forward P/E and 0.54 PEG, any positive housing data inflection could trigger significant multiple expansion toward peer average of 12-15x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Prolonged housing affordability crisis — if mortgage rates stay above 7% and entry-level buyers remain priced out, elevated incentives will continue compressing margins below sustainable levels [1]</w:t>
      </w:r>
    </w:p>
    <w:p>
      <w:pPr>
        <w:spacing w:before="40" w:after="40"/>
        <w:ind w:left="283"/>
      </w:pPr>
      <w:r>
        <w:rPr>
          <w:rFonts w:ascii="Calibri" w:hAnsi="Calibri"/>
          <w:b/>
          <w:color w:val="4A6B25"/>
          <w:sz w:val="20"/>
        </w:rPr>
        <w:t xml:space="preserve">2. </w:t>
      </w:r>
      <w:r>
        <w:rPr>
          <w:rFonts w:ascii="Calibri" w:hAnsi="Calibri"/>
          <w:b w:val="0"/>
          <w:color w:val="3A4A28"/>
          <w:sz w:val="20"/>
        </w:rPr>
        <w:t>Land position carrying costs — 345 communities with slowing absorption creates working capital burden; impairment risk if home prices decline in overbuilt markets</w:t>
      </w:r>
    </w:p>
    <w:p>
      <w:pPr>
        <w:spacing w:before="40" w:after="40"/>
        <w:ind w:left="283"/>
      </w:pPr>
      <w:r>
        <w:rPr>
          <w:rFonts w:ascii="Calibri" w:hAnsi="Calibri"/>
          <w:b/>
          <w:color w:val="4A6B25"/>
          <w:sz w:val="20"/>
        </w:rPr>
        <w:t xml:space="preserve">3. </w:t>
      </w:r>
      <w:r>
        <w:rPr>
          <w:rFonts w:ascii="Calibri" w:hAnsi="Calibri"/>
          <w:b w:val="0"/>
          <w:color w:val="3A4A28"/>
          <w:sz w:val="20"/>
        </w:rPr>
        <w:t>Input cost inflation from tariffs on lumber, appliances, and building materials could further squeeze margins when pricing power is limited by buyer affordability constraints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Homebuilding is fundamentally immune to AI disruption — constructing physical homes requires land acquisition, permitting, physical labor, materials procurement, weather management, and local government relationships that AI cannot replicate [1]. No analyst has flagged AI as a risk to homebuilders. AI may marginally assist with design optimization, energy modeling, and sales/marketing, but the core business of building and selling houses is entirely physical-world. Housing demand is driven by demographics, interest rates, and affordability — not technology disruption. AI Opportunity (0/1): Meritage does not generate revenue from AI products or services. AI deployment in homebuilding is limited to peripheral operational efficiency rather than revenue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Meritage Homes Q1 2026 Earnings Release — Revenue $1.108B (down 17%), EPS $0.82 (down 55%), 345 communities, updated guidance, April 2026</w:t>
      </w:r>
    </w:p>
    <w:p>
      <w:pPr>
        <w:spacing w:before="20" w:after="20"/>
        <w:ind w:left="170"/>
      </w:pPr>
      <w:r>
        <w:rPr>
          <w:rFonts w:ascii="Calibri" w:hAnsi="Calibri"/>
          <w:b/>
          <w:color w:val="4A6B25"/>
          <w:sz w:val="15"/>
        </w:rPr>
        <w:t xml:space="preserve">2. </w:t>
      </w:r>
      <w:r>
        <w:rPr>
          <w:rFonts w:ascii="Calibri" w:hAnsi="Calibri"/>
          <w:b w:val="0"/>
          <w:color w:val="3A4A28"/>
          <w:sz w:val="17"/>
        </w:rPr>
        <w:t>Meritage Homes Glassdoor reviews, CEO Phillippe Lord appointment, Great Place to Work certification, accessed May 2026</w:t>
      </w:r>
    </w:p>
    <w:p>
      <w:pPr>
        <w:spacing w:before="20" w:after="20"/>
        <w:ind w:left="170"/>
      </w:pPr>
      <w:r>
        <w:rPr>
          <w:rFonts w:ascii="Calibri" w:hAnsi="Calibri"/>
          <w:b/>
          <w:color w:val="4A6B25"/>
          <w:sz w:val="15"/>
        </w:rPr>
        <w:t xml:space="preserve">3. </w:t>
      </w:r>
      <w:r>
        <w:rPr>
          <w:rFonts w:ascii="Calibri" w:hAnsi="Calibri"/>
          <w:b w:val="0"/>
          <w:color w:val="3A4A28"/>
          <w:sz w:val="17"/>
        </w:rPr>
        <w:t>Meritage Homes ESG Report — ENERGY STAR certification, Operation Homefront partnership, sustainability metrics,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MTH (Meritage Homes), retrieved May 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