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w:t>
      </w:r>
      <w:r>
        <w:rPr>
          <w:rFonts w:ascii="Calibri" w:hAnsi="Calibri"/>
          <w:b/>
          <w:color w:val="1A2010"/>
          <w:sz w:val="40"/>
        </w:rPr>
        <w:t xml:space="preserve">  ArcelorMittal S.A.</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Luxembourg</w:t>
      </w:r>
    </w:p>
    <w:p>
      <w:pPr>
        <w:spacing w:after="80"/>
      </w:pPr>
      <w:r>
        <w:rPr>
          <w:rFonts w:ascii="Calibri" w:hAnsi="Calibri"/>
          <w:b w:val="0"/>
          <w:color w:val="3A4A28"/>
          <w:sz w:val="20"/>
        </w:rPr>
        <w:t>ArcelorMittal is the world's largest steel producer, operating integrated steel and mining operations across the Americas, Europe, Asia, and Africa. The company produces flat products (slabs, coils, plates), long products (bars, structural sections, rails), and tubular products, serving automotive, construction, energy, and machinery industries. It also operates iron ore mining in Brazil, Liberia, Mexico, South Africa, and Canada.</w:t>
      </w:r>
    </w:p>
    <w:p>
      <w:r>
        <w:rPr>
          <w:rFonts w:ascii="Calibri" w:hAnsi="Calibri"/>
          <w:b/>
          <w:color w:val="6E8450"/>
          <w:sz w:val="18"/>
        </w:rPr>
        <w:t>125,554 Employees · https://corporate.arcelormittal.com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ArcelorMittal has incrementally improved its steel product mix toward higher-value-added products and invested in hydrogen-based steelmaking pilot programs, but has not executed a transformative business model pivot in the last 5 years — the company remains fundamentally the same integrated steelmaker it was a decade ago [1]. AI Deployment (0/2): No evidence of AI-powered products shipping to customers or quantified AI-driven cost savings in operations; digital transformation efforts are in early stages [3]. Market Share (2/2): ArcelorMittal is the world's largest steel producer by output, with operations spanning 60+ countries and leading market positions in Europe, North America, and emerging markets — a clear category leader in global steel [1][2]. Pipeline (0/2): No next-generation products with specific timelines; the hydrogen steelmaking initiative targets 25% GHG reduction by 2030 but lacks near-term revenue visibility [4]. R&amp;D Intensity (1/1): ArcelorMittal invests in advanced steel grades, lightweight automotive solutions, and decarbonization technology, though R&amp;D intensity is modest relative to technology sectors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ArcelorMittal's tagline 'Smarter steels for people and planet' identifies what the company does and connects it to sustainability, but lacks the distinctiveness and depth of a transformative purpose — it reads as a modernized version of standard industrial company messaging [2]. Community Impact (1/2): The company employs 125,554 people globally and has community investment programs in operating regions, with specific commitments to 25% GHG reduction by 2030 and carbon neutrality by 2050, though charitable giving specifics are limited [4]. Employee Retention (1/2): Glassdoor rating of 4.0/5 with 82% recommending the company as a workplace (based on 4,894 reviews) is strong for the steel industry, suggesting above-average employee satisfaction [3]. Insider Buying (1/2): The Mittal family maintains significant equity ownership through Lakshmi Mittal's executive chairmanship and Aditya Mittal's CEO role, providing meaningful insider alignment, though specific recent transaction data was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ArcelorMittal's infrastructure profile reflects a cyclical steelmaker with low valuation but compressed margins. Forward P/E of 9.3x is well below the 20x target, and D/E of 23.7% is conservative at well under 70% [5]. PEG of 0.42 is extremely attractive, suggesting significant earnings upside priced in. However, ROE of 6.0% is below the 15% target, reflecting the cyclical margin compression in global steel markets — FY2025 profit margin was only 5.1% on $61.4B revenue [1][5]. Revenue growth has been negative on a 3-year CAGR basis (-8.4%), declining from $79.8B in 2022 to $61.4B in 2025 as steel prices normalized from post-COVID peaks. YoY revenue growth of 1.7% shows stabilization but remains well below the 10% target [1]. Liquidity floor easily cleared: 1.96M avg vol x $62.41 = $122.2M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ArcelorMittal's infinite game profile is mixed — the Mittal family's multi-generational leadership provides continuity and long-term orientation, but the company's strategic decisions are heavily driven by steel cycle management and shareholder returns rather than a transformative vision. The hydrogen steelmaking commitment shows forward thinking, but the company's language and actions still primarily frame competition in finite terms of market share and cost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ArcelorMittal's 'Smarter steels for people and planet' is a clear articulation but lacks the depth and validation of a true Just Cause [2]. The hydrogen steelmaking commitment is aspirational, but the company's strategic decisions — aggressive share buybacks, cyclical capacity adjustments — suggest profit optimization remains the primary driver. The cause has not been tested through decades of consistent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82% recommendation rate and 4.0/5 rating from nearly 5,000 reviews suggests adequate trust across a 125,000-person global workforce [3]. The Mittal family's long-standing leadership provides stability, and employees in North America cite safety culture as a strength. However, the steel industry's history of cyclical layoffs and restructuring creates inherent trust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ArcelorMittal's competitive language tends toward market share dominance and cost leadership rather than learning from rivals [2]. The company positions itself as the world's largest steelmaker and competes primarily on scale advantage against Nippon Steel, POSCO, and Chinese producers, with limited evidence of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ArcelorMittal has shown incremental flexibility through its pivot toward green steel (hydrogen-based steelmaking), recent M&amp;A to rebalance its geographic portfolio, and strategic growth investments targeting $2.1B in EBITDA uplift [1]. These represent meaningful adaptations to decarbonization trends, though not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commitment to 25% GHG reduction by 2030 and carbon neutrality by 2050 represents courageous long-term investment in an industry where decarbonization requires billions in capital expenditure with uncertain returns [4]. The Mittal family's willingness to maintain majority ownership through multiple steel downturns shows conviction, though the company has also been criticized for closing plants during downturns rather than investing through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ArcelorMittal is the world's largest steel producer trading at a compelling valuation — 9.3x forward P/E and 0.42x PEG ratio — with $5.4B in cash and strategic growth projects expected to add $2.1B in EBITDA including $0.8B targeted in 2026 [1][5]. Q4 2025 EPS of $4.11 TTM represents significant recovery from the 2024 cyclical trough ($1.69), and management is optimistic on 2026 fundamentals citing stabilizing markets and supportive industry policies in key regions. The stock has rallied from $27.42 52-week low to $62.41, but at 0.78x book value the market still prices significant skepticism about the steel cycle recovery. D/E of just 23.7% provides balance sheet flexibility for both shareholder returns and growth investment.</w:t>
      </w:r>
    </w:p>
    <w:p>
      <w:pPr>
        <w:spacing w:after="120"/>
      </w:pPr>
      <w:r>
        <w:rPr>
          <w:rFonts w:ascii="Calibri" w:hAnsi="Calibri"/>
          <w:b w:val="0"/>
          <w:color w:val="3A4A28"/>
          <w:sz w:val="20"/>
        </w:rPr>
        <w:t>The bear case centers on ArcelorMittal's cyclicality and structural margin compression. Revenue has declined from $79.8B in 2022 to $61.4B in 2025 as post-COVID steel prices normalized, and 5-year revenue CAGR of -8.4% reflects secular challenges in European steel demand [1][5]. Profit margin of 5.1% and ROE of 6.0% are below cost of capital, raising questions about whether the business earns adequate returns through the cycle. Chinese steel overcapacity continues to depress global pricing, and tariff uncertainty creates demand volatility. The green steel transition requires massive capital investment ($10B+ industry-wide) with uncertain returns and long payback periods. Negative free cash flow of -$2.2B in the latest period is concerning despite the low valuation. The Mittal family's controlling interest (36%+) may not align with minority shareholder interests on capital allocation decisions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growth projects targeting $2.1B in incremental EBITDA, with $0.8B expected in 2026 from capacity expansions in India and Brazil [1]</w:t>
      </w:r>
    </w:p>
    <w:p>
      <w:pPr>
        <w:spacing w:before="40" w:after="40"/>
        <w:ind w:left="283"/>
      </w:pPr>
      <w:r>
        <w:rPr>
          <w:rFonts w:ascii="Calibri" w:hAnsi="Calibri"/>
          <w:b/>
          <w:color w:val="4A6B25"/>
          <w:sz w:val="20"/>
        </w:rPr>
        <w:t xml:space="preserve">2. </w:t>
      </w:r>
      <w:r>
        <w:rPr>
          <w:rFonts w:ascii="Calibri" w:hAnsi="Calibri"/>
          <w:b w:val="0"/>
          <w:color w:val="3A4A28"/>
          <w:sz w:val="20"/>
        </w:rPr>
        <w:t>European steel market recovery supported by infrastructure spending, EU carbon border adjustment mechanism (CBAM), and potential trade protections against Chinese imports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at 9.3x forward P/E and 0.42x PEG if steel cycle recovery materializes and margins expand toward mid-cycle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steel overcapacity and export dumping continue to suppress global steel prices, preventing margin recovery despite ArcelorMittal's cost optimization efforts [1]</w:t>
      </w:r>
    </w:p>
    <w:p>
      <w:pPr>
        <w:spacing w:before="40" w:after="40"/>
        <w:ind w:left="283"/>
      </w:pPr>
      <w:r>
        <w:rPr>
          <w:rFonts w:ascii="Calibri" w:hAnsi="Calibri"/>
          <w:b/>
          <w:color w:val="4A6B25"/>
          <w:sz w:val="20"/>
        </w:rPr>
        <w:t xml:space="preserve">2. </w:t>
      </w:r>
      <w:r>
        <w:rPr>
          <w:rFonts w:ascii="Calibri" w:hAnsi="Calibri"/>
          <w:b w:val="0"/>
          <w:color w:val="3A4A28"/>
          <w:sz w:val="20"/>
        </w:rPr>
        <w:t>European energy costs and decarbonization mandates create structural cost disadvantages versus Asian producers, compressing margins in ArcelorMittal's largest market [4]</w:t>
      </w:r>
    </w:p>
    <w:p>
      <w:pPr>
        <w:spacing w:before="40" w:after="40"/>
        <w:ind w:left="283"/>
      </w:pPr>
      <w:r>
        <w:rPr>
          <w:rFonts w:ascii="Calibri" w:hAnsi="Calibri"/>
          <w:b/>
          <w:color w:val="4A6B25"/>
          <w:sz w:val="20"/>
        </w:rPr>
        <w:t xml:space="preserve">3. </w:t>
      </w:r>
      <w:r>
        <w:rPr>
          <w:rFonts w:ascii="Calibri" w:hAnsi="Calibri"/>
          <w:b w:val="0"/>
          <w:color w:val="3A4A28"/>
          <w:sz w:val="20"/>
        </w:rPr>
        <w:t>Cyclical revenue decline from $79.8B to $61.4B over 3 years may not fully reverse — secular steel demand weakness in developed markets could persist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production is fundamentally a physical-world industrial process involving blast furnaces, electric arc furnaces, mining, and complex logistics that AI cannot substitute [2]. ArcelorMittal's core business — smelting iron ore into steel products — requires massive capital infrastructure, regulatory permits, and physical supply chains that are structurally immune to AI disruption. If anything, AI-driven demand for data centers and energy infrastructure increases steel consumption. The company's automotive and construction end markets also face minimal AI substitution risk. AI Opportunity (0/1): No evidence of meaningful AI-generated revenue; the company's digital initiatives are in early stages focused on operational efficiency rather than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ArcelorMittal Q3 2025 Earnings Release — strategic growth projects and 2026 EBITDA guidance,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ArcelorMittal corporate website — leadership, operations overview, and product portfolio,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for ArcelorMittal — 4.0/5 rating, 82% recommendation rate from 4,894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ArcelorMittal Sustainability Report — 25% GHG reduction target by 2030, hydrogen steelmaking initiatives,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MT (ArcelorMittal),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