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MUFG</w:t>
      </w:r>
      <w:r>
        <w:rPr>
          <w:rFonts w:ascii="Calibri" w:hAnsi="Calibri"/>
          <w:b/>
          <w:color w:val="1A2010"/>
          <w:sz w:val="40"/>
        </w:rPr>
        <w:t xml:space="preserve">  Mitsubishi UFJ Financial Group, Inc.</w:t>
      </w:r>
    </w:p>
    <w:p>
      <w:pPr>
        <w:spacing w:after="120"/>
      </w:pPr>
      <w:r>
        <w:rPr>
          <w:rFonts w:ascii="Calibri" w:hAnsi="Calibri"/>
          <w:b/>
          <w:color w:val="6E8450"/>
          <w:sz w:val="18"/>
        </w:rPr>
        <w:t>DIVIDEND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Japan</w:t>
      </w:r>
    </w:p>
    <w:p>
      <w:pPr>
        <w:spacing w:after="80"/>
      </w:pPr>
      <w:r>
        <w:rPr>
          <w:rFonts w:ascii="Calibri" w:hAnsi="Calibri"/>
          <w:b w:val="0"/>
          <w:color w:val="3A4A28"/>
          <w:sz w:val="20"/>
        </w:rPr>
        <w:t>Mitsubishi UFJ Financial Group is Japan's largest financial group and one of the world's largest banks by total assets, operating across commercial banking, trust banking, securities, asset management, and investor services in over 50 countries. Founded in 1880, the group serves retail, corporate, and institutional clients through seven business segments.</w:t>
      </w:r>
    </w:p>
    <w:p>
      <w:r>
        <w:rPr>
          <w:rFonts w:ascii="Calibri" w:hAnsi="Calibri"/>
          <w:b/>
          <w:color w:val="6E8450"/>
          <w:sz w:val="18"/>
        </w:rPr>
        <w:t>150,800 Employees · https://www.mufg.jp/english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MUFG has expanded its global footprint over the past five years, growing its Global Corporate &amp; Investment Banking and Asset Management segments, and raised its FY2026 net profit target to ¥2.1 trillion (13% increase) reflecting strong execution across business lines [1]. AI Deployment (2/2): MUFG has partnered with OpenAI, adopted Databricks as its next-generation data and AI platform, and engaged Sakana AI as an advisor, pursuing an explicit 'AI-native' transformation strategy with measurable deployments across risk management and customer service [2]. Market Share (1/2): MUFG is Japan's largest bank by assets and a top-10 global bank, but faces intense competition from JPMorgan, HSBC, and domestic rivals Mizuho and SMFG without clear share gains [1]. Pipeline (0/2): No specific next-generation product launches with named timelines beyond general digital transformation initiatives. R&amp;D Intensity (1/1): Significant technology investment including the Databricks platform migration and AI partnerships positions MUFG above peers in fintech adoption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MUFG's purpose — 'Committed to empowering a brighter future' — is clear and service-oriented but not distinctive enough to differentiate from peer bank mission statements; it identifies beneficiaries but lacks the specificity to drive strategic decisions uniquely [3]. Community Impact (1/2): MUFG maintains a corporate foundation and ESG policy framework with commitments to environmental protection and human rights, but specific dollar amounts and measurable community programs are not prominently disclosed [3]. Employee Retention (1/2): Glassdoor rating of 3.5/5 with 150,800 employees suggests adequate but not exceptional retention; reviews cite stable employment but slow decision-making and heavy bureaucracy typical of Japanese megabanks [2]. Insider Buying (1/2): MUFG announced a ¥250 billion ($1.6B) share buyback program alongside its raised profit guidance, signaling management confidence in the stock's value, though direct insider purchasing data is limited for Japanese ADRs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MUFG's financial profile is strong for a global diversified bank. Revenue growth of 11.7% YoY with profit margin of 22.8% demonstrates improving profitability as Japan's interest rate normalization boosts net interest income [1]. Forward P/E of 17.1x is attractive for a bank generating ¥2.1 trillion in targeted net profit. ROE of 6.1% is below the 15% target but typical for Japanese megabanks with conservative capital structures [4]. Payout ratio of 43.8% supports a dividend yield of 2.8% with significant recent dividend growth — the ¥49 annual dividend represents substantial increases over the past five years [4]. Consecutive dividend payments spanning 20+ years and accelerating dividend growth CAGR well above inflation round out the income profile. Liquidity floor easily cleared: 3.95M avg vol × $17.58 = $69.4M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MUFG exhibits mixed infinite game characteristics — a 360+ year institutional history demonstrates extraordinary durability, but the consensus-driven Japanese corporate culture and focus on incremental rather than transformative change reflect a preference for stability over bold cause-driven leadership. The 'AI-native' transformation push shows willingness to evolve, but strategic flexibility is constrained by bureaucratic decision-making.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MUFG's purpose of 'empowering a brighter future' is supported by 360+ years of continuous operation through wars, financial crises, and industry transformations — few institutions on Earth have demonstrated this level of endurance [3]. However, the cause reads more as institutional permanence than a bold vision of a future state that doesn't yet exist. 2 points: genuine cause, partially lived — the longevity validates commitment but the purpose lacks the specificity to drive transformative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MUFG's Glassdoor rating of 3.5/5 and 150,800-person workforce suggest adequate organizational trust without exceptional distinction [2]. The Japanese corporate culture emphasizes consensus and stability, which creates psychological safety but at the cost of agility. Reviews highlight job security and work-life balance as strengths but flag slow decision-making and rigid hierarchy as weaknesses. 1 point: adequate trust without evidence of exceptional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MUFG's partnerships with OpenAI, Sakana AI, and Databricks demonstrate a learning-oriented competitive mindset — rather than building all AI capabilities in-house, MUFG acknowledges where rivals and partners have superior capabilities and collaborates to improve [2]. Management commentary focuses on improving capabilities rather than destroying competitors.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 has evolved from a domestic Japanese bank to a global financial conglomerate through the 2005 merger of MTFG and UFJ Holdings and subsequent international acquisitions [1]. The current 'AI-native' transformation represents incremental adaptation rather than a transformative pivot. The business model has broadened but not fundamentally reinvented. 1 point: some flexibility through globalization and digital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MUFG's decision to raise its profit target to ¥2.1 trillion while simultaneously committing ¥250B to share buybacks demonstrates confidence, and the aggressive AI investment through multiple partnerships shows willingness to invest in long-term capability [1][2]. However, no evidence of sacrificing near-term earnings for transformative long-term bets — the AI investments are incremental and aligned with current profitability.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MUFG is Japan's largest financial group benefiting from a historic shift in Bank of Japan monetary policy — rising interest rates are expanding net interest margins after decades of near-zero rates, driving the raised FY2026 net profit target of ¥2.1 trillion (up 13%) [1]. The stock trades at an attractive 17.1x forward P/E with a 2.8% dividend yield that has grown substantially in recent years, while the ¥250B ($1.6B) share buyback signals management confidence. Revenue growth of 11.7% YoY and 22.8% profit margins demonstrate the earnings power of a diversified global franchise spanning commercial banking, investment banking, asset management, and trust services across 50+ countries [4]. The AI-native transformation strategy through partnerships with OpenAI, Databricks, and Sakana AI positions MUFG to improve operational efficiency and client services [2].</w:t>
      </w:r>
    </w:p>
    <w:p>
      <w:pPr>
        <w:spacing w:after="120"/>
      </w:pPr>
      <w:r>
        <w:rPr>
          <w:rFonts w:ascii="Calibri" w:hAnsi="Calibri"/>
          <w:b w:val="0"/>
          <w:color w:val="3A4A28"/>
          <w:sz w:val="20"/>
        </w:rPr>
        <w:t>The bear case centers on structural headwinds facing Japanese megabanks. ROE of 6.1% remains well below global peers like JPMorgan (17%+) due to conservative capital management and a fragmented domestic market [4]. Revenue volatility is extreme — annual swings of 50%+ reflect the bank's sensitivity to market conditions, interest rate movements, and mark-to-market accounting of securities portfolios. Japan's aging demographics create a shrinking domestic loan market, forcing reliance on international expansion that carries execution and currency risk. The consensus-driven culture and rigid hierarchy (Glassdoor 3.5/5) may slow the AI transformation needed to compete with more agile fintech competitors [2]. Additionally, the historical UFJ association with governance issues, though pre-merger, reminds investors of the reputational risks inherent in Japanese banking conglomerates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 of Japan interest rate normalization continuing to expand net interest margins, with each 25bps rate hike adding significant incremental net interest income to MUFG's ¥1.44 trillion NII base [1]</w:t>
      </w:r>
    </w:p>
    <w:p>
      <w:pPr>
        <w:spacing w:before="40" w:after="40"/>
        <w:ind w:left="283"/>
      </w:pPr>
      <w:r>
        <w:rPr>
          <w:rFonts w:ascii="Calibri" w:hAnsi="Calibri"/>
          <w:b/>
          <w:color w:val="4A6B25"/>
          <w:sz w:val="20"/>
        </w:rPr>
        <w:t xml:space="preserve">2. </w:t>
      </w:r>
      <w:r>
        <w:rPr>
          <w:rFonts w:ascii="Calibri" w:hAnsi="Calibri"/>
          <w:b w:val="0"/>
          <w:color w:val="3A4A28"/>
          <w:sz w:val="20"/>
        </w:rPr>
        <w:t>AI-native transformation through OpenAI, Databricks, and Sakana AI partnerships driving measurable cost savings and revenue enhancement across risk management and client services [2]</w:t>
      </w:r>
    </w:p>
    <w:p>
      <w:pPr>
        <w:spacing w:before="40" w:after="40"/>
        <w:ind w:left="283"/>
      </w:pPr>
      <w:r>
        <w:rPr>
          <w:rFonts w:ascii="Calibri" w:hAnsi="Calibri"/>
          <w:b/>
          <w:color w:val="4A6B25"/>
          <w:sz w:val="20"/>
        </w:rPr>
        <w:t xml:space="preserve">3. </w:t>
      </w:r>
      <w:r>
        <w:rPr>
          <w:rFonts w:ascii="Calibri" w:hAnsi="Calibri"/>
          <w:b w:val="0"/>
          <w:color w:val="3A4A28"/>
          <w:sz w:val="20"/>
        </w:rPr>
        <w:t>Shareholder return acceleration — ¥250B buyback plus rising dividends reflect a structural shift toward higher capital returns as Japanese corporate governance reforms take 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BOJ policy reversal or slower-than-expected rate normalization would compress the net interest margin expansion thesis and flatten earnings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Global credit cycle deterioration — MUFG's large corporate lending book (including leveraged finance and emerging market exposure) faces rising default risk in a slowing global economy</w:t>
      </w:r>
    </w:p>
    <w:p>
      <w:pPr>
        <w:spacing w:before="40" w:after="40"/>
        <w:ind w:left="283"/>
      </w:pPr>
      <w:r>
        <w:rPr>
          <w:rFonts w:ascii="Calibri" w:hAnsi="Calibri"/>
          <w:b/>
          <w:color w:val="4A6B25"/>
          <w:sz w:val="20"/>
        </w:rPr>
        <w:t xml:space="preserve">3. </w:t>
      </w:r>
      <w:r>
        <w:rPr>
          <w:rFonts w:ascii="Calibri" w:hAnsi="Calibri"/>
          <w:b w:val="0"/>
          <w:color w:val="3A4A28"/>
          <w:sz w:val="20"/>
        </w:rPr>
        <w:t>Yen appreciation against USD would reduce the value of MUFG's substantial international operations when translated back to yen, directly impacting ADR-denominated earnings for US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MUFG's core business — commercial lending, project finance, trade finance, and trust banking — relies on deeply regulated processes, long-standing client relationships, and physical-world infrastructure (branch networks, ATM systems, regulatory compliance frameworks) that AI cannot easily displace [2]. However, portions of the business including retail banking, advisory services, and back-office operations face moderate AI substitution risk as fintech competitors deploy AI-powered lending and wealth management. AI Opportunity (1/1): MUFG is actively generating value from AI through its OpenAI partnership, Databricks data platform, and Sakana AI collaboration, deploying AI across risk assessment, fraud detection, and customer service automation with quantifiable efficiency improvements targeted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MUFG Q3 FY2026 Earnings Report — raised net profit target to ¥2.1 trillion, ¥250B buyback announced, February 2026</w:t>
      </w:r>
    </w:p>
    <w:p>
      <w:pPr>
        <w:spacing w:before="20" w:after="20"/>
        <w:ind w:left="170"/>
      </w:pPr>
      <w:r>
        <w:rPr>
          <w:rFonts w:ascii="Calibri" w:hAnsi="Calibri"/>
          <w:b/>
          <w:color w:val="4A6B25"/>
          <w:sz w:val="15"/>
        </w:rPr>
        <w:t xml:space="preserve">2. </w:t>
      </w:r>
      <w:r>
        <w:rPr>
          <w:rFonts w:ascii="Calibri" w:hAnsi="Calibri"/>
          <w:b w:val="0"/>
          <w:color w:val="3A4A28"/>
          <w:sz w:val="17"/>
        </w:rPr>
        <w:t>MUFG AI Strategy — OpenAI partnership, Databricks platform adoption, Sakana AI advisory engagement, 2025-2026</w:t>
      </w:r>
    </w:p>
    <w:p>
      <w:pPr>
        <w:spacing w:before="20" w:after="20"/>
        <w:ind w:left="170"/>
      </w:pPr>
      <w:r>
        <w:rPr>
          <w:rFonts w:ascii="Calibri" w:hAnsi="Calibri"/>
          <w:b/>
          <w:color w:val="4A6B25"/>
          <w:sz w:val="15"/>
        </w:rPr>
        <w:t xml:space="preserve">3. </w:t>
      </w:r>
      <w:r>
        <w:rPr>
          <w:rFonts w:ascii="Calibri" w:hAnsi="Calibri"/>
          <w:b w:val="0"/>
          <w:color w:val="3A4A28"/>
          <w:sz w:val="17"/>
        </w:rPr>
        <w:t>MUFG Corporate Website — purpose statement, ESG policy framework, environmental and social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MUFG,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