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MUR</w:t>
      </w:r>
      <w:r>
        <w:rPr>
          <w:rFonts w:ascii="Calibri" w:hAnsi="Calibri"/>
          <w:b/>
          <w:color w:val="1A2010"/>
          <w:sz w:val="40"/>
        </w:rPr>
        <w:t xml:space="preserve">  Murphy Oil Corporation</w:t>
      </w:r>
    </w:p>
    <w:p>
      <w:pPr>
        <w:spacing w:after="120"/>
      </w:pPr>
      <w:r>
        <w:rPr>
          <w:rFonts w:ascii="Calibri" w:hAnsi="Calibri"/>
          <w:b/>
          <w:color w:val="6E8450"/>
          <w:sz w:val="18"/>
        </w:rPr>
        <w:t>DIVIDEND SLEEVE · 2026-04-11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Murphy Oil Corporation operates as an oil and gas exploration and production company in the United States, Canada, and internationally. It explores for and produces crude oil, natural gas, and natural gas liquids with key operations in the Gulf of Mexico, Eagle Ford Shale, and offshore Canada. Founded in 1950 and headquartered in Houston, Texas.</w:t>
      </w:r>
    </w:p>
    <w:p>
      <w:r>
        <w:rPr>
          <w:rFonts w:ascii="Calibri" w:hAnsi="Calibri"/>
          <w:b/>
          <w:color w:val="6E8450"/>
          <w:sz w:val="18"/>
        </w:rPr>
        <w:t>813 Employees · https://www.murphyoilcorp.com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Murphy Oil has been incrementally optimizing its existing Gulf of Mexico and Eagle Ford Shale operations with record-setting well performance in its onshore program, but has not launched new business lines or executed a transformative pivot in the last five years [1]. AI Deployment (0/2): No evidence of AI-powered products or quantified AI-driven cost savings; the company posted a Director of Innovation role suggesting early-stage technology exploration rather than deployed capabilities [2]. Market Share (1/2): Murphy is a meaningful mid-cap E&amp;P operator with ~190,000 BOE/d production, but it does not lead or define any category within the fragmented oil and gas sector [1]. Product Pipeline (1/2): Offshore development projects in the Gulf of Mexico provide multi-year production visibility, and management has outlined capital discipline with near-term development targets, though no transformative new ventures are on the horizon [1]. R&amp;D Intensity (0/1): E&amp;P companies invest primarily in exploration and development rather than traditional R&amp;D, and Murphy's technology spend is at or below peer levels for a company of its size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Murphy Oil's core value is 'Do Right Always,' which is a generic ethical commitment interchangeable with any industrial company — it does not articulate a distinctive vision of the future or a purpose beyond responsible operations [3]. Community Impact (1/2): The company publishes a sustainability report and has augmented Board oversight of ESG responsibilities with third-party GHG emissions assurance, though specific charitable dollar amounts or distinctive community programs are not prominently disclosed [3]. Employee Retention (0/2): Glassdoor ratings of 2.5/5.0 for work-life balance and 2.9/5.0 for culture suggest below-average employee satisfaction; only 40% of employees would recommend working at Murphy Oil, and reviews cite culture and management as cons [2]. Insider Buying (0/2): Net insider selling in the past 12 months — Officer Daniel Hanchera sold ~$1.6M in March 2026, and Maria Martinez sold $300K; no meaningful open-market insider purchases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available financial metrics. Murphy's balance sheet is a strength with D/E of 42%, well below the 70% target, and the forward P/E of 12.0x reflects reasonable valuation for an E&amp;P company [4]. However, trailing profitability is extremely weak with a 3.9% profit margin and 2.6% ROE, both depressed by commodity price softness and non-cash impairments in 2025 — full-year net income fell to $104.2M from much higher levels [1]. Revenue declined 8.4% YoY as oil prices fell, and the 3-year revenue trend shows persistent contraction from $4.2B in 2022 to $2.7B in 2025 [4]. The dividend profile is strong: 44 consecutive years of payment, four consecutive years of growth (2022-2025), a 5-year dividend CAGR of ~15.8%, and the payout ratio spike to 181% reflects depressed 2025 earnings rather than structural unsustainability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Murphy Oil operates with a distinctly finite mindset. The company's strategic language centers on capital discipline, return on invested capital, and shareholder returns — finite metrics optimized for this quarter rather than a vision of a future state worth sacrificing for. The 2025 CEO transition from Roger Jenkins to Eric Hambly was smooth but not driven by a cause. Glassdoor reviews (2.5/5.0 work-life balance, 40% recommend) suggest a low-trust internal environment, and the competitive posture is focused on production efficiency rather than learning from rivals.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Murphy Oil's 'Do Right Always' is an ethical commitment, not a Just Cause. It does not describe a future state, is not resilient beyond a single leader, and does not inspire sacrifice. Strategic communications focus on 'disciplined capital allocation' and 'returning cash to shareholders' — finite objectives that any E&amp;P company could articulate. No evidence that purpose drives strategic decisions (0 points)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are concerning: only 40% of employees would recommend Murphy Oil, and reviews cite management and culture as top cons [2]. The 2.5/5.0 work-life balance score and 2.9/5.0 culture rating suggest employees are not thriving. With just 813 employees, the organization is lean, but lean does not mean trusting. The January 2025 CEO transition added organizational uncertainty. This is a low-trust environment by Sinek's standards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Murphy Oil's competitive language focuses on its own production metrics — 'record-setting well performance' and 'capital discipline' — without acknowledging competitors' strengths or articulating what it can learn from them. The company competes in a commodity market where differentiation is primarily operational, and management does not discuss rivals in terms of inspiration or self-improvement (0 points)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Murphy Oil has made incremental strategic shifts — divesting its retail gas station business (Murphy USA, spun off in 2013), shifting focus from onshore to deepwater Gulf of Mexico, and adjusting capital allocation between its Eagle Ford and offshore portfolios [1]. These are meaningful adaptations to market conditions, but none represents a transformative reinvention of the business model. The company remains fundamentally what it was decades ago: an oil and gas E&amp;P company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Murphy's management has maintained dividend growth through the 2025 earnings downturn, increasing the annual dividend to $1.30 despite a 76% decline in EPS, signaling confidence in long-term cash flow generation [1]. The company also maintained offshore development spending during the commodity downturn rather than cutting to preserve short-term earnings. These are modest examples of prioritizing long-term capability over quarterly results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Murphy Oil offers deep value at 1.08x book value and 12x forward earnings with a 3.5% dividend yield, backed by 44 consecutive years of dividend payments and improving capital returns. The forward P/E of 12x implies significant earnings recovery as consensus expects EPS to improve from $0.72 in 2025 to $3.23, driven by offshore production ramp, improved commodity pricing, and operational efficiencies from record-setting well performance [1][4]. The Gulf of Mexico deepwater assets provide high-margin production with long reserve life, and management's disciplined capital allocation framework targets sustainable free cash flow generation through commodity cycles.</w:t>
      </w:r>
    </w:p>
    <w:p>
      <w:pPr>
        <w:spacing w:after="120"/>
      </w:pPr>
      <w:r>
        <w:rPr>
          <w:rFonts w:ascii="Calibri" w:hAnsi="Calibri"/>
          <w:b w:val="0"/>
          <w:color w:val="3A4A28"/>
          <w:sz w:val="20"/>
        </w:rPr>
        <w:t>The bear case is stark: revenue has declined from $4.2B in 2022 to $2.7B in 2025, a 36% contraction driven by lower oil prices and production declines [4]. Trailing profit margin of 3.9% and ROE of 2.6% are deeply depressed, and the 181% payout ratio is mathematically unsustainable unless earnings recover sharply. The company's 813-employee workforce operates in a structurally declining industry facing long-term demand destruction from the energy transition, and Glassdoor reviews suggest cultural challenges that may impair talent retention. If oil prices remain below $70/bbl or decline further, the dividend growth streak and forward earnings estimates both become unreliable.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Offshore Gulf of Mexico production ramp from new deepwater developments providing high-margin barrels and supporting the EPS recovery from $0.72 to consensus $3.23</w:t>
      </w:r>
    </w:p>
    <w:p>
      <w:pPr>
        <w:spacing w:before="40" w:after="40"/>
        <w:ind w:left="283"/>
      </w:pPr>
      <w:r>
        <w:rPr>
          <w:rFonts w:ascii="Calibri" w:hAnsi="Calibri"/>
          <w:b/>
          <w:color w:val="4A6B25"/>
          <w:sz w:val="20"/>
        </w:rPr>
        <w:t xml:space="preserve">2. </w:t>
      </w:r>
      <w:r>
        <w:rPr>
          <w:rFonts w:ascii="Calibri" w:hAnsi="Calibri"/>
          <w:b w:val="0"/>
          <w:color w:val="3A4A28"/>
          <w:sz w:val="20"/>
        </w:rPr>
        <w:t>Oil price recovery above $75/bbl WTI would drive immediate margin expansion given Murphy's high operating leverage to commodity prices</w:t>
      </w:r>
    </w:p>
    <w:p>
      <w:pPr>
        <w:spacing w:before="40" w:after="40"/>
        <w:ind w:left="283"/>
      </w:pPr>
      <w:r>
        <w:rPr>
          <w:rFonts w:ascii="Calibri" w:hAnsi="Calibri"/>
          <w:b/>
          <w:color w:val="4A6B25"/>
          <w:sz w:val="20"/>
        </w:rPr>
        <w:t xml:space="preserve">3. </w:t>
      </w:r>
      <w:r>
        <w:rPr>
          <w:rFonts w:ascii="Calibri" w:hAnsi="Calibri"/>
          <w:b w:val="0"/>
          <w:color w:val="3A4A28"/>
          <w:sz w:val="20"/>
        </w:rPr>
        <w:t>Continued share buyback program reducing share count and increasing per-share metrics, with management committed to returning excess free cash flow to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oil prices below $65/bbl WTI would pressure cash flow, potentially forcing a dividend cut after 44 consecutive years of payment and destroying the income thesis</w:t>
      </w:r>
    </w:p>
    <w:p>
      <w:pPr>
        <w:spacing w:before="40" w:after="40"/>
        <w:ind w:left="283"/>
      </w:pPr>
      <w:r>
        <w:rPr>
          <w:rFonts w:ascii="Calibri" w:hAnsi="Calibri"/>
          <w:b/>
          <w:color w:val="4A6B25"/>
          <w:sz w:val="20"/>
        </w:rPr>
        <w:t xml:space="preserve">2. </w:t>
      </w:r>
      <w:r>
        <w:rPr>
          <w:rFonts w:ascii="Calibri" w:hAnsi="Calibri"/>
          <w:b w:val="0"/>
          <w:color w:val="3A4A28"/>
          <w:sz w:val="20"/>
        </w:rPr>
        <w:t>Long-term secular decline in global oil demand from the energy transition, electric vehicle adoption, and renewable energy buildout threatens the terminal value of E&amp;P assets</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the Gulf of Mexico where hurricane disruption, regulatory changes, or lease moratoria could materially impact production and development plans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exploration and production is a physical-world business that AI structurally cannot displace — extracting hydrocarbons from deepwater Gulf of Mexico wells and Eagle Ford Shale requires massive capital infrastructure, geological expertise, and regulatory compliance that no AI tool can replicate [1]. AI may increase demand for energy as data center buildouts accelerate, creating a potential tailwind for oil and gas demand. Analysts have not flagged AI disruption as a risk for Murphy or the E&amp;P sector broadly. AI Opportunity (0/1): No evidence of AI-generated revenue. Murphy has posted a Director of Innovation role but has not disclosed any AI products or quantified AI-driven operational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Murphy Oil Q4 2025 Earnings Release, January 30, 2026 — Arkansas Democrat-Gazette</w:t>
      </w:r>
    </w:p>
    <w:p>
      <w:pPr>
        <w:spacing w:before="20" w:after="20"/>
        <w:ind w:left="170"/>
      </w:pPr>
      <w:r>
        <w:rPr>
          <w:rFonts w:ascii="Calibri" w:hAnsi="Calibri"/>
          <w:b/>
          <w:color w:val="4A6B25"/>
          <w:sz w:val="15"/>
        </w:rPr>
        <w:t xml:space="preserve">2. </w:t>
      </w:r>
      <w:r>
        <w:rPr>
          <w:rFonts w:ascii="Calibri" w:hAnsi="Calibri"/>
          <w:b w:val="0"/>
          <w:color w:val="3A4A28"/>
          <w:sz w:val="17"/>
        </w:rPr>
        <w:t>Glassdoor and Comparably — Murphy Oil employee reviews and executive ratings,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Murphy Oil Corporation 2024 Sustainability Report and Corporate Website,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MUR key statistics and financial data,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'Does Murphy Oil's Higher Dividend Amid Offshore Spend Change The Bull Case?',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