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MUX</w:t>
      </w:r>
      <w:r>
        <w:rPr>
          <w:rFonts w:ascii="Calibri" w:hAnsi="Calibri"/>
          <w:b/>
          <w:color w:val="1A2010"/>
          <w:sz w:val="40"/>
        </w:rPr>
        <w:t xml:space="preserve">  McEwen Inc.</w:t>
      </w:r>
    </w:p>
    <w:p>
      <w:pPr>
        <w:spacing w:after="120"/>
      </w:pPr>
      <w:r>
        <w:rPr>
          <w:rFonts w:ascii="Calibri" w:hAnsi="Calibri"/>
          <w:b/>
          <w:color w:val="6E8450"/>
          <w:sz w:val="18"/>
        </w:rPr>
        <w:t>GROWTH SLEEVE · 2026-04-29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Canada</w:t>
      </w:r>
    </w:p>
    <w:p>
      <w:pPr>
        <w:spacing w:after="80"/>
      </w:pPr>
      <w:r>
        <w:rPr>
          <w:rFonts w:ascii="Calibri" w:hAnsi="Calibri"/>
          <w:b w:val="0"/>
          <w:color w:val="3A4A28"/>
          <w:sz w:val="20"/>
        </w:rPr>
        <w:t>McEwen Inc. (formerly McEwen Mining) explores, develops, produces, and sells gold and silver deposits in the United States, Canada, Mexico, and Argentina. The company owns 100% of the Gold Bar gold mine in Nevada, the Fox Complex in Ontario, and the Fenix project in Mexico, along with a 49% interest in the San José mine in Argentina. It also holds a significant copper development asset (Los Azules). Founded in 1979 by Rob McEwen and headquartered in Toronto, Canada.</w:t>
      </w:r>
    </w:p>
    <w:p>
      <w:r>
        <w:rPr>
          <w:rFonts w:ascii="Calibri" w:hAnsi="Calibri"/>
          <w:b/>
          <w:color w:val="6E8450"/>
          <w:sz w:val="18"/>
        </w:rPr>
        <w:t>1,981 Employees · https://www.mcewenmining.com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McEwen has pursued incremental operational improvements including the acquisition of the Tartan Mine Project in Canada and the Fenix project restart in Mexico, but no transformative business model shifts in the last 5 years — the company remains a junior gold/silver miner with the same core operations [1]. AI Deployment (1/2): Rob McEwen advocated for AI-driven innovation at PDAC 2026, emphasizing digital transformation and AI adoption to modernize mining operations, though specific AI products shipping or quantified AI-driven cost savings have not been reported — the initiative remains strategic aspiration rather than deployed results [3]. Market Share Leadership (1/2): McEwen is a meaningful but small player in precious metals mining with 2025 production of approximately 100,000 GEOs; the company does not lead any category but has a distinctive founder-led brand and the Los Azules copper asset provides differentiation [1]. Product Pipeline (1/2): The plan to double production to 250,000-300,000 GEOs by 2030 through Fox Complex expansion (16,000 to 105,000-120,000 GEOs) and Tartan development is specific with timelines, though execution risk is high for a junior miner [1]. R&amp;D Intensity (1/1): Rob McEwen pioneered open-source exploration through the Goldcorp Challenge, publishing geological data and inviting global scientists to submit drilling plans — above-average innovation intensity for the mining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McEwen's mission reflects genuine intentionality rooted in Rob McEwen's vision to build a mid-tier gold producer that rewards shareholders through production growth rather than financial engineering. The company's purpose is differentiated from peers by McEwen's personal alignment — he takes a $1/year salary, owns 15% of MUX and 13% of McEwen Copper, and has invested over $200M of personal capital into the company, demonstrating conviction that exceeds virtually any mining CEO [3][4]. Community &amp; Charitable Impact (1/2): McEwen publishes sustainability reports for its Mexico and Argentina operations, and the company engages in community development in the mining regions where it operates, though specific charitable program details and dollar amounts are limited [5]. Employee Retention (1/2): The company employs 1,981 people with operations across four countries; McEwen promotes high safety standards and competitive culture, though specific retention data or tenure statistics are not publicly available [3]. Insider Buying (2/2): Rob McEwen's personal ownership of 15% of MUX (approximately $194M at current prices) with a $1/year salary represents one of the strongest insider alignment signals in the mining industry — this is not recent buying but sustained, career-long capital commitment that exceeds the threshold for meaningful conviction [3][4].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McEwen's financial infrastructure improved significantly in 2025 with a return to profitability — Q4 net income of $38.1M ($0.70/share) versus a Q4 2024 loss, and full-year net income of $34.4M [1]. The balance sheet is conservatively managed with only 23.5% D/E, and the forward P/E of 4.35 reflects deep value relative to gold price tailwinds. Revenue grew 13.2% YoY to $197.6M with 17.4% profit margins, and the 3-year revenue CAGR of 21.4% demonstrates strong top-line momentum [1][2]. The company projects $80M in free cash flow from owned operations plus $50M+ in San José dividends during 2026, substantially improving the cash position to $51M at year-end 2025 [1]. The primary weakness is ROE at 6.6%, reflecting the capital-intensive nature of mining and the company's growth investment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McEwen demonstrates significant infinite-game qualities through Rob McEwen's extraordinary personal commitment — $1 salary, 15% ownership, and multi-decade involvement in gold mining since founding Goldcorp. The plan to double production by 2030 reflects long-term orientation. However, the mining industry's inherently cyclical nature, commodity price dependence, and the company's history of volatile earnings create tension with true infinite-game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 McEwen's vision extends beyond simple commodity production — he genuinely believes in democratizing mining investment and creating shareholder value through production growth rather than financial engineering, as evidenced by his $1 salary, massive personal ownership stake, and the pioneering Goldcorp Challenge that opened geological data to global crowdsourcing [3][4]. The cause connects mining to broader economic value creation, but it is ultimately about building a successful mining company rather than articulating a future state that transcends the business itself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McEwen operates across four countries with 1,981 employees and promotes high safety standards as a core value. The company recently strengthened its management team and the founder's personal alignment (owning 15% alongside employees) creates shared incentive alignment [3][5]. However, the mining industry broadly faces labor challenges, and specific evidence of exceptional trust, psychological safety, or standout employee empowerment practices is not available for McEwen specifically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 McEwen's career demonstrates an infinite competitive mindset — he founded Goldcorp, grew it from $50M to $8B market cap, then started a new company (McEwen Mining) to apply lessons learned rather than resting on Goldcorp's success. His PDAC 2026 presentation emphasized that the mining industry needs to modernize, attract young talent, and embrace innovation — framing the challenge as industry-wide improvement rather than defeating specific competitors [3]. This is a builder's mindset, not a conqueror's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McEwen has remained fundamentally a precious metals mining company since its founding in 1979, with the core business model of exploration, development, and production unchanged. The expansion into copper through Los Azules and the rebranding from McEwen Mining to McEwen Inc. in June 2025 represent some strategic evolution, but these are adjacent moves within the mining sector rather than transformative pivots [1]. The company has not faced or navigated a fundamental reinvention of its business model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 McEwen's decision to take a $1 salary and invest over $200M of personal capital demonstrates rare conviction — he accepts personal financial risk that aligns his interests entirely with shareholders [3][4]. The Goldcorp Challenge (publishing proprietary geological data publicly) was a courageous bet that defied mining industry norms and generated enormous value. However, McEwen Mining's operational execution has been inconsistent, with volatile earnings and production challenges that suggest strategy-execution gaps alongside the courageous capital allocation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McEwen Inc. offers compelling gold exposure at deep value pricing — forward P/E of 4.35x with a conservative 23.5% D/E balance sheet and a founder-CEO who owns 15% of the company on a $1 salary. The 2025 financial turnaround ($34.4M net income versus losses in 2024) validates the operational improvements, and the 2026 guidance of $80M in free cash flow from owned operations plus $50M+ in San José dividends positions the company for significant cash generation at current gold prices above $2,400/oz. The plan to double production to 250,000-300,000 GEOs by 2030 through Fox Complex expansion and Tartan development provides a clear growth trajectory, while the Los Azules copper asset offers substantial optionality as copper demand grows from electrification and AI infrastructure buildout.</w:t>
      </w:r>
    </w:p>
    <w:p>
      <w:pPr>
        <w:spacing w:after="120"/>
      </w:pPr>
      <w:r>
        <w:rPr>
          <w:rFonts w:ascii="Calibri" w:hAnsi="Calibri"/>
          <w:b w:val="0"/>
          <w:color w:val="3A4A28"/>
          <w:sz w:val="20"/>
        </w:rPr>
        <w:t>The bear case revolves around execution risk and commodity price dependence. McEwen's production of ~100,000 GEOs makes it a junior miner with limited scale advantages, and the ambitious plan to reach 250,000-300,000 GEOs by 2030 requires successful mine development in Canada where Fox Complex production must grow from 16,000-19,000 to 105,000-120,000 GEOs — a 6x increase that carries significant capital expenditure and timeline risk. Cash costs of $2,100-$2,300/oz are above industry averages for mid-tier producers, leaving margins vulnerable if gold prices retreat below $2,000/oz. The company's earnings history has been highly volatile ($55M profit in 2023, -$44M loss in 2024, $34M profit in 2025), reflecting the operational challenges inherent in running mines across four countries with limited corporate scale. Rob McEwen is 76 years old with no obvious succession plan, creating key-man risk for a company whose brand and strategy are inseparable from its founder.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remaining above $2,400/oz in 2026 would drive outsized free cash flow given the forward P/E of 4.35x and projected $80M+ FCF from owned operations, potentially enabling dividend reinstatement or accelerated mine development</w:t>
      </w:r>
    </w:p>
    <w:p>
      <w:pPr>
        <w:spacing w:before="40" w:after="40"/>
        <w:ind w:left="283"/>
      </w:pPr>
      <w:r>
        <w:rPr>
          <w:rFonts w:ascii="Calibri" w:hAnsi="Calibri"/>
          <w:b/>
          <w:color w:val="4A6B25"/>
          <w:sz w:val="20"/>
        </w:rPr>
        <w:t xml:space="preserve">2. </w:t>
      </w:r>
      <w:r>
        <w:rPr>
          <w:rFonts w:ascii="Calibri" w:hAnsi="Calibri"/>
          <w:b w:val="0"/>
          <w:color w:val="3A4A28"/>
          <w:sz w:val="20"/>
        </w:rPr>
        <w:t>Fox Complex expansion from 16,000-19,000 to 105,000-120,000 GEOs by 2030 — successful construction milestones and permitting progress would significantly de-risk the production doubling thesis</w:t>
      </w:r>
    </w:p>
    <w:p>
      <w:pPr>
        <w:spacing w:before="40" w:after="40"/>
        <w:ind w:left="283"/>
      </w:pPr>
      <w:r>
        <w:rPr>
          <w:rFonts w:ascii="Calibri" w:hAnsi="Calibri"/>
          <w:b/>
          <w:color w:val="4A6B25"/>
          <w:sz w:val="20"/>
        </w:rPr>
        <w:t xml:space="preserve">3. </w:t>
      </w:r>
      <w:r>
        <w:rPr>
          <w:rFonts w:ascii="Calibri" w:hAnsi="Calibri"/>
          <w:b w:val="0"/>
          <w:color w:val="3A4A28"/>
          <w:sz w:val="20"/>
        </w:rPr>
        <w:t>Los Azules copper project advancement could unlock substantial value as copper demand grows from electrification and data center construction — McEwen's 13% personal ownership of McEwen Copper signals management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gold price decline below $2,000/oz would compress margins given $2,100-$2,300/oz cash costs, potentially returning the company to losses as experienced in 2022 and 2024</w:t>
      </w:r>
    </w:p>
    <w:p>
      <w:pPr>
        <w:spacing w:before="40" w:after="40"/>
        <w:ind w:left="283"/>
      </w:pPr>
      <w:r>
        <w:rPr>
          <w:rFonts w:ascii="Calibri" w:hAnsi="Calibri"/>
          <w:b/>
          <w:color w:val="4A6B25"/>
          <w:sz w:val="20"/>
        </w:rPr>
        <w:t xml:space="preserve">2. </w:t>
      </w:r>
      <w:r>
        <w:rPr>
          <w:rFonts w:ascii="Calibri" w:hAnsi="Calibri"/>
          <w:b w:val="0"/>
          <w:color w:val="3A4A28"/>
          <w:sz w:val="20"/>
        </w:rPr>
        <w:t>Execution risk on the production doubling plan — Fox Complex development requires a 6x production increase by 2030 with significant capital expenditure, permitting, and construction risk in Ontario, Canada</w:t>
      </w:r>
    </w:p>
    <w:p>
      <w:pPr>
        <w:spacing w:before="40" w:after="40"/>
        <w:ind w:left="283"/>
      </w:pPr>
      <w:r>
        <w:rPr>
          <w:rFonts w:ascii="Calibri" w:hAnsi="Calibri"/>
          <w:b/>
          <w:color w:val="4A6B25"/>
          <w:sz w:val="20"/>
        </w:rPr>
        <w:t xml:space="preserve">3. </w:t>
      </w:r>
      <w:r>
        <w:rPr>
          <w:rFonts w:ascii="Calibri" w:hAnsi="Calibri"/>
          <w:b w:val="0"/>
          <w:color w:val="3A4A28"/>
          <w:sz w:val="20"/>
        </w:rPr>
        <w:t>Key-man risk with 76-year-old founder Rob McEwen serving as Chairman and CEO with no disclosed succession plan — the company's identity, strategy, and shareholder base are deeply tied to his personal brand and capital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is structurally immune to AI disruption — the business involves physical extraction of minerals from underground and open-pit operations, geological exploration, chemical processing, and environmental remediation that AI cannot substitute [2]. The demand for gold is driven by monetary policy, inflation hedging, central bank reserves, and jewelry/industrial consumption — none of which are affected by AI technology. If anything, AI infrastructure buildout (data centers, semiconductors) increases demand for metals and power, creating indirect tailwinds for the mining sector [1]. McEwen's operations require physical mine development, environmental permits, community engagement, and geological expertise that exist entirely outside the digital domain. AI Opportunity (1/1): Rob McEwen has publicly championed AI-driven mining innovation at PDAC 2026, and AI applications in geological modeling, autonomous drilling, and operational optimization represent meaningful revenue-enabling opportunities that could reduce McEwen's cash costs per ounce from the current $2,100-$2,300 range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McEwen Inc. Q4 and Full Year 2025 Operational and Financial Results press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MUX key statistics and financial data,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Rob McEwen biography and leadership profile — mcewenmining.com and PDAC 2026 presentation</w:t>
      </w:r>
    </w:p>
    <w:p>
      <w:pPr>
        <w:spacing w:before="20" w:after="20"/>
        <w:ind w:left="170"/>
      </w:pPr>
      <w:r>
        <w:rPr>
          <w:rFonts w:ascii="Calibri" w:hAnsi="Calibri"/>
          <w:b/>
          <w:color w:val="4A6B25"/>
          <w:sz w:val="15"/>
        </w:rPr>
        <w:t xml:space="preserve">4. </w:t>
      </w:r>
      <w:r>
        <w:rPr>
          <w:rFonts w:ascii="Calibri" w:hAnsi="Calibri"/>
          <w:b w:val="0"/>
          <w:color w:val="3A4A28"/>
          <w:sz w:val="17"/>
        </w:rPr>
        <w:t>Rob McEwen Wikipedia profile — Goldcorp founding history and personal investment details</w:t>
      </w:r>
    </w:p>
    <w:p>
      <w:pPr>
        <w:spacing w:before="20" w:after="20"/>
        <w:ind w:left="170"/>
      </w:pPr>
      <w:r>
        <w:rPr>
          <w:rFonts w:ascii="Calibri" w:hAnsi="Calibri"/>
          <w:b/>
          <w:color w:val="4A6B25"/>
          <w:sz w:val="15"/>
        </w:rPr>
        <w:t xml:space="preserve">5. </w:t>
      </w:r>
      <w:r>
        <w:rPr>
          <w:rFonts w:ascii="Calibri" w:hAnsi="Calibri"/>
          <w:b w:val="0"/>
          <w:color w:val="3A4A28"/>
          <w:sz w:val="17"/>
        </w:rPr>
        <w:t>McEwen Inc. Sustainability Reports — Mexico and Argentina operations, 2023-2024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