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MU</w:t>
      </w:r>
      <w:r>
        <w:rPr>
          <w:rFonts w:ascii="Calibri" w:hAnsi="Calibri"/>
          <w:b/>
          <w:color w:val="1A2010"/>
          <w:sz w:val="40"/>
        </w:rPr>
        <w:t xml:space="preserve">  Micron Technology, Inc.</w:t>
      </w:r>
    </w:p>
    <w:p>
      <w:pPr>
        <w:spacing w:after="120"/>
      </w:pPr>
      <w:r>
        <w:rPr>
          <w:rFonts w:ascii="Calibri" w:hAnsi="Calibri"/>
          <w:b/>
          <w:color w:val="6E8450"/>
          <w:sz w:val="18"/>
        </w:rPr>
        <w:t>GROWTH SLEEVE · 2026-03-23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Micron Technology designs, develops, and manufactures memory and storage products including DRAM, NAND, and High Bandwidth Memory (HBM) for AI, data center, mobile, and automotive applications. The company reported record Q2 FY2026 revenue of $23.86 billion, up 196% YoY, driven by insatiable AI HBM demand.</w:t>
      </w:r>
    </w:p>
    <w:p>
      <w:r>
        <w:rPr>
          <w:rFonts w:ascii="Calibri" w:hAnsi="Calibri"/>
          <w:b/>
          <w:color w:val="6E8450"/>
          <w:sz w:val="18"/>
        </w:rPr>
        <w:t>53,000 Employees · https://www.micron.com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Micron is at the epicenter of the AI memory supercycle, with HBM4 volume production for NVIDIA's Vera Rubin already started and HBM4e ramping in 2027 [1]. Record Q2 FY26 revenue of $23.86 billion (up 196% YoY) and 74.9% gross margins demonstrate technology leadership. The $6.4 billion CHIPS Act grants fund MegaFab construction in Idaho and New York, and the company is sold out of HBM through 2026 [1]. Micron's HBM market share is growing as AI demand far exceeds supply.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Micron's 53,000 employees are participants in a generational technology transformation — enabling the AI revolution through memory innovation. The CHIPS Act MegaFab investments in Idaho and New York create domestic manufacturing jobs and supply chain resilience [1]. The company's stock tripled in 2025 and rose 62% YTD in 2026, creating substantial wealth for employee-shareholders. CEO Sanjay Mehrotra's technical leadership inspires confidence in the R&amp;D organization.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Micron's financial profile is exceptional: 41.5% profit margin, 39.8% ROE, very low D/E of 14.9%, and revenue growth of 196% YoY [2]. The forward P/E of 4.3x is remarkably cheap for a company guiding Q3 revenue of $33.5 billion with 81% gross margins. Q2 EPS of $12.20 crushed the $9.31 estimate. The 0.14% dividend yield is negligible but the 2.2% payout ratio leaves maximum reinvestment capacity. CapEx above $25 billion in FY2026 reflects aggressive capacity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Micron demonstrates strong infinite game characteristics through its massive $25B+ CapEx investment in domestic manufacturing (CHIPS Act MegaFabs), multi-generational HBM technology roadmap (HBM4, HBM4e), and willingness to sacrifice near-term margins for long-term capacity [1]. However, the semiconductor industry's inherent cyclicality means Micron must play both finite (cycle management) and infinite (technology leadership) games simultaneously.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Enabling the AI revolution through memory technology that powers autonomous vehicles, drug discovery, climate modeling, and human creativity represents a compelling just cause [1]. Micron's CHIPS Act investments in domestic manufacturing also serve national security and economic resilience goals.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Micron's 53,000 employees benefit from a stock that tripled in 2025, strong equity compensation, and the excitement of being at the center of the AI revolution. R&amp;D culture is technically rigorous, and the company's patent portfolio reflects deep engineering talent [1].</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Micron competes fiercely with Samsung and SK Hynix in memory/HBM, and competition drives rapid technology advancement. Rumors of NVIDIA prioritizing SK Hynix for Rubin production show Micron using competitive pressure to accelerate HBM4 development [1].</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Micron's pivot from commodity DRAM/NAND to AI-critical HBM demonstrates exceptional strategic flexibility, repositioning the company's entire growth narrative around AI infrastructure demand [1]. The MegaFab investments show commitment to long-term capacity even at the cycle peak.</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Investing $25B+ in CapEx at what some fear is a cycle peak, building MegaFabs that won't produce until 2027, and aggressively pursuing HBM4 for NVIDIA's next-gen platforms shows genuine courage to lead the memory industry's transformation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Micron is in a profit supercycle with record Q2 FY26 revenue of $23.86B (up 196% YoY), 74.9% gross margins expanding to guided 81% in Q3, and Q3 revenue guidance of $33.5B that would represent 260%+ YoY growth [1]. At just 4.3x forward P/E, the stock is astonishingly cheap for a company delivering these growth rates — the market appears to be pricing in a cycle peak that may not arrive soon given HBM demand far exceeds supply through 2026. The $62 billion HBM market in 2026 growing to $100B by 2028 provides a multi-year growth runway, and $6.4B in CHIPS Act grants de-risk the $25B+ CapEx program.</w:t>
      </w:r>
    </w:p>
    <w:p>
      <w:pPr>
        <w:spacing w:after="120"/>
      </w:pPr>
      <w:r>
        <w:rPr>
          <w:rFonts w:ascii="Calibri" w:hAnsi="Calibri"/>
          <w:b w:val="0"/>
          <w:color w:val="3A4A28"/>
          <w:sz w:val="20"/>
        </w:rPr>
        <w:t>The bear case centers on cyclicality — memory is historically the most volatile semiconductor segment, and Micron's stock has historically peaked with margins. At $422/share with a $477B market cap, any demand slowdown from hyperscalers (Microsoft, Meta, Google) would trigger a sharp correction [1]. Rumors of NVIDIA prioritizing SK Hynix and Samsung for Rubin could reduce Micron's share of the most premium HBM market. CapEx above $25B creates operating leverage risk if the HBM cycle shortens. The stock tripled in 2025 and is up 62% YTD — momentum is extreme, and any earnings miss could cause a significant pullback. Concentration risk in a few hyperscaler customers means Micron's fortunes are tied to AI CapEx budgets that could be cut if ROI disappoints.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Q3 FY26 guidance of $33.5B revenue with 81% gross margins, if met or exceeded, would confirm the profit supercycle and justify further re-rating</w:t>
      </w:r>
    </w:p>
    <w:p>
      <w:pPr>
        <w:spacing w:before="40" w:after="40"/>
        <w:ind w:left="283"/>
      </w:pPr>
      <w:r>
        <w:rPr>
          <w:rFonts w:ascii="Calibri" w:hAnsi="Calibri"/>
          <w:b/>
          <w:color w:val="4A6B25"/>
          <w:sz w:val="20"/>
        </w:rPr>
        <w:t xml:space="preserve">2. </w:t>
      </w:r>
      <w:r>
        <w:rPr>
          <w:rFonts w:ascii="Calibri" w:hAnsi="Calibri"/>
          <w:b w:val="0"/>
          <w:color w:val="3A4A28"/>
          <w:sz w:val="20"/>
        </w:rPr>
        <w:t>HBM4 volume production for NVIDIA Vera Rubin ramping through 2026, with HBM4e targeting 2027, extends the technology leadership timeline</w:t>
      </w:r>
    </w:p>
    <w:p>
      <w:pPr>
        <w:spacing w:before="40" w:after="40"/>
        <w:ind w:left="283"/>
      </w:pPr>
      <w:r>
        <w:rPr>
          <w:rFonts w:ascii="Calibri" w:hAnsi="Calibri"/>
          <w:b/>
          <w:color w:val="4A6B25"/>
          <w:sz w:val="20"/>
        </w:rPr>
        <w:t xml:space="preserve">3. </w:t>
      </w:r>
      <w:r>
        <w:rPr>
          <w:rFonts w:ascii="Calibri" w:hAnsi="Calibri"/>
          <w:b w:val="0"/>
          <w:color w:val="3A4A28"/>
          <w:sz w:val="20"/>
        </w:rPr>
        <w:t>CHIPS Act MegaFab in Idaho on track for 2027 production, adding domestic capacity that reduces geopolitical supply chain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Memory cycle peak risk — HBM margins of 75-81% are historically unprecedented and any normalization would cause significant stock decline</w:t>
      </w:r>
    </w:p>
    <w:p>
      <w:pPr>
        <w:spacing w:before="40" w:after="40"/>
        <w:ind w:left="283"/>
      </w:pPr>
      <w:r>
        <w:rPr>
          <w:rFonts w:ascii="Calibri" w:hAnsi="Calibri"/>
          <w:b/>
          <w:color w:val="4A6B25"/>
          <w:sz w:val="20"/>
        </w:rPr>
        <w:t xml:space="preserve">2. </w:t>
      </w:r>
      <w:r>
        <w:rPr>
          <w:rFonts w:ascii="Calibri" w:hAnsi="Calibri"/>
          <w:b w:val="0"/>
          <w:color w:val="3A4A28"/>
          <w:sz w:val="20"/>
        </w:rPr>
        <w:t>NVIDIA potentially shifting HBM procurement toward SK Hynix and Samsung for Rubin flagship could reduce Micron's premium market share</w:t>
      </w:r>
    </w:p>
    <w:p>
      <w:pPr>
        <w:spacing w:before="40" w:after="40"/>
        <w:ind w:left="283"/>
      </w:pPr>
      <w:r>
        <w:rPr>
          <w:rFonts w:ascii="Calibri" w:hAnsi="Calibri"/>
          <w:b/>
          <w:color w:val="4A6B25"/>
          <w:sz w:val="20"/>
        </w:rPr>
        <w:t xml:space="preserve">3. </w:t>
      </w:r>
      <w:r>
        <w:rPr>
          <w:rFonts w:ascii="Calibri" w:hAnsi="Calibri"/>
          <w:b w:val="0"/>
          <w:color w:val="3A4A28"/>
          <w:sz w:val="20"/>
        </w:rPr>
        <w:t>Hyperscaler CapEx concentration — if Microsoft, Meta, or Google slow AI infrastructure spending, HBM demand could fall below supply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Micron is one of the primary beneficiaries of AI — HBM is a critical component in every AI accelerator (NVIDIA, AMD, custom ASICs), and AI workloads require 3x more memory wafers than traditional computing [1]. The company is sold out through 2026, and the HBM TAM is projected to reach $100 billion by 2028. AI is not just an enabler for Micron; it is the fundamental growth driver that has transformed the company from a cyclical commodity chipmaker into a structural growth story.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Micron Technology Q2 FY2026 Earnings Release, March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MU key statistics,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CNBC — Micron Q2 2026 Earnings Report, March 2026</w:t>
      </w:r>
    </w:p>
    <w:p>
      <w:pPr>
        <w:spacing w:before="20" w:after="20"/>
        <w:ind w:left="170"/>
      </w:pPr>
      <w:r>
        <w:rPr>
          <w:rFonts w:ascii="Calibri" w:hAnsi="Calibri"/>
          <w:b/>
          <w:color w:val="4A6B25"/>
          <w:sz w:val="15"/>
        </w:rPr>
        <w:t xml:space="preserve">4. </w:t>
      </w:r>
      <w:r>
        <w:rPr>
          <w:rFonts w:ascii="Calibri" w:hAnsi="Calibri"/>
          <w:b w:val="0"/>
          <w:color w:val="3A4A28"/>
          <w:sz w:val="17"/>
        </w:rPr>
        <w:t>Seeking Alpha — Micron Enters A Profit Supercycle,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