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MXCT</w:t>
      </w:r>
      <w:r>
        <w:rPr>
          <w:rFonts w:ascii="Calibri" w:hAnsi="Calibri"/>
          <w:b/>
          <w:color w:val="1A2010"/>
          <w:sz w:val="40"/>
        </w:rPr>
        <w:t xml:space="preserve">  MaxCyte, Inc.</w:t>
      </w:r>
    </w:p>
    <w:p>
      <w:pPr>
        <w:spacing w:after="120"/>
      </w:pPr>
      <w:r>
        <w:rPr>
          <w:rFonts w:ascii="Calibri" w:hAnsi="Calibri"/>
          <w:b/>
          <w:color w:val="6E8450"/>
          <w:sz w:val="18"/>
        </w:rPr>
        <w:t>GROWTH SLEEVE · 2026-05-04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MaxCyte is a life sciences company that develops and commercializes cell-engineering technology through its proprietary ExPERT electroporation platform. The company's instruments (ATx, STx, GTx, VLx) and consumable processing assemblies enable pharmaceutical and biotech companies to engineer cells for drug discovery, cell therapy development, and bio-manufacturing. MaxCyte's technology is the only clinically validated non-viral delivery platform for cell therapy, enabling the first approved CRISPR-based cell therapy (Casgevy for sickle cell disease). Headquartered in Rockville, Maryland.</w:t>
      </w:r>
    </w:p>
    <w:p>
      <w:r>
        <w:rPr>
          <w:rFonts w:ascii="Calibri" w:hAnsi="Calibri"/>
          <w:b/>
          <w:color w:val="6E8450"/>
          <w:sz w:val="18"/>
        </w:rPr>
        <w:t>91 Employees · https://www.maxcyte.com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MaxCyte's ExPERT platform enabled the first FDA-approved CRISPR-based cell therapy (Casgevy by Vertex/CRISPR Therapeutics for sickle cell disease), a landmark achievement that validates the company's core technology [2]. The company also launched the ExPERT DTx discovery platform in early 2026 and received the FDA's first Advanced Manufacturing Technology (AMT) designation for its Cell Shuttle platform [3]. AI Deployment (0/2): No evidence of AI-powered products or AI-driven internal efficiencies; the company's value proposition is based on electroporation biophysics and cell engineering expertise rather than artificial intelligence [2]. Market Share (2/2): MaxCyte holds a unique position as the only clinically validated non-viral cell delivery platform, with over 200 strategic platform license (SPL) agreements and manufacturing partnerships with Bristol Myers Squibb, Kite (Gilead), and LG Chem [1][3]. Pipeline (1/2): The ExPERT DTx discovery platform and Cell Shuttle (AMT-designated) represent specific next-gen products, and multiple clinical trials planned for 2026 create pipeline visibility, though revenue guidance of $30-32M for FY2026 signals modest near-term growth [1]. R&amp;D Intensity (1/1): As a 91-person life sciences company, R&amp;D spending as a percentage of revenue is extremely high — the company's operating margin of -94.8% reflects heavy investment in platform development relative to its revenue base [1][5].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MaxCyte's purpose — advancing cell therapies to treat previously incurable diseases — is deeply meaningful and validated by the company's role in enabling Casgevy, the first CRISPR-based cure for sickle cell disease [2]. The mission connects directly to alleviating human suffering and pushes the frontier of medicine. However, the company is still early-stage and the cause hasn't been tested through decades of consistent execution. Community Impact (1/2): MaxCyte's technology has enabled treatments for sickle cell disease — a condition that disproportionately affects underserved populations — representing meaningful social impact. The company partners with leading biopharma companies to advance gene-edited therapies for cancer and genetic diseases [2][3]. Employee Retention (1/2): CEO Maher Masoud was promoted from within after 7+ years at the company, and he emphasizes a close-knit culture where every team member understands how their work impacts customers — positive for a 91-person organization [2]. However, the company announced a workforce reduction plan to reduce costs, signaling stress. Insider Buying (0/2): No evidence of meaningful insider buying; the company recently reported inducement grants for new employees but no open-market purchases by executives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1,019,008 shares at $0.88 per share yields daily traded value of $897K, below the $1,000,000 minimum threshold — Infrastructure score is automatically 0 [5]. Underlying financials show a pre-revenue-scale biotech: FY2025 revenue of $33.0M declined 15% YoY, with core revenue down 9% to $29.6M as the largest customer reduced purchases by 15% [1]. GAAP profit margin is -135% with operating margin of -94.8%, reflecting heavy R&amp;D and SG&amp;A against a small revenue base [5]. The company burns approximately $15.5M annually in free cash flow but holds $155.6M in cash/investments (expected $136M at end of 2026), providing a multi-year cash runway that mitigates near-term survival risk [1]. D/E of 10.5% is very conservative with minimal debt [5]. FY2026 guidance of $30-32M implies continued revenue contraction. The $94M market cap trades at less than 1x cash, suggesting the market prices minimal value for the operating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MaxCyte is a 27-year-old company that has patiently developed a foundational technology for cell therapy manufacturing, culminating in enabling the first approved CRISPR-based therapy. This long-term technology development approach is quintessentially infinite game thinking. However, the company's recent revenue decline, workforce reduction, and sub-$1 stock price create survival pressures that force finite-game decision-making. The question is whether MaxCyte can survive long enough for the cell therapy market to scale to its potential.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MaxCyte's purpose — enabling cell therapies that cure previously untreatable diseases — is genuinely compelling and validated by the Casgevy approval for sickle cell disease [2]. CEO Masoud articulates this mission consistently, and the company's 27-year commitment to developing electroporation technology (founded 1998, first major approval 2023) demonstrates long-term cause-driven persistence. However, the cause hasn't yet generated financial sustainability, which Sinek would note is necessary for an infinite game to continue.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just 91 employees, MaxCyte operates as a close-knit organization where CEO Masoud emphasizes wanting to understand what everyone is working on and how it impacts customers — a high-trust, transparent approach [2]. Masoud's internal promotion after 7+ years signals trust in existing talent. However, the recent workforce reduction plan undermines the trust environment, and the company's financial pressures create uncertainty that erodes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MaxCyte positions itself as the 'only clinically validated non-viral delivery platform' — a claim of technological superiority rather than an acknowledgment of competitors' strengths [2]. While this positioning is factually accurate, the competitive language frames rivals (viral vectors, lipid nanoparticles) as inferior alternatives rather than worthy competitors from whom the company can learn. No evidence of management referencing competitors' advances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MaxCyte has been focused on electroporation technology for 27 years without a significant strategic pivot — the company continues to refine and expand its core ExPERT platform rather than transforming its business model [2]. The ExPERT DTx and Cell Shuttle represent incremental platform extensions, not existential pivots. While persistence in a pre-scale market can be virtuous, the company has not demonstrated flexibility in response to the slow pace of cell therapy commercialization.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MaxCyte has maintained investment in its electroporation platform through 27 years of pre-profitability operation, requiring persistent courage to continue spending on R&amp;D and customer development without financial returns [1][2]. The decision to reduce annual cash burn by $16M while continuing to invest in new products (DTx, Cell Shuttle) shows disciplined prioritization under pressure. However, the workforce reduction and cost restructuring are reactive survival measures rather than proactive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MaxCyte owns the only clinically validated non-viral cell delivery platform, with its ExPERT technology enabling the landmark Casgevy CRISPR therapy approval for sickle cell disease and supporting 200+ strategic platform license agreements with partners including Bristol Myers Squibb, Kite (Gilead), and LG Chem [1][2][3]. The stock trades at $0.88 with a $94M market cap — below its $155.6M cash position — meaning the market assigns negative value to the operating business and its technology portfolio. This creates deep value optionality: if even a fraction of the 200+ SPL-partnered cell therapies advance to commercialization, royalty and manufacturing revenue could be transformative. The FDA's AMT designation for Cell Shuttle and the ExPERT DTx launch provide near-term catalysts. An 81% gross margin demonstrates the quality of the razor/razorblade business model if volumes recover [1].</w:t>
      </w:r>
    </w:p>
    <w:p>
      <w:pPr>
        <w:spacing w:after="120"/>
      </w:pPr>
      <w:r>
        <w:rPr>
          <w:rFonts w:ascii="Calibri" w:hAnsi="Calibri"/>
          <w:b w:val="0"/>
          <w:color w:val="3A4A28"/>
          <w:sz w:val="20"/>
        </w:rPr>
        <w:t>The bear case centers on revenue decline, pre-profitability burn, and market timing risk. FY2025 revenue declined 15% to $33.0M, and FY2026 guidance of $30-32M signals continued contraction driven by the largest customer reducing purchases by 15% [1]. Operating margin of -94.8% and profit margin of -135% reflect a fundamentally unprofitable business that burns $15.5M annually in free cash flow [5]. While $155.6M in cash provides multi-year runway, the company cannot sustain losses indefinitely without revenue growth. The cell therapy market has consistently disappointed on commercialization timelines — CAR-T therapies have grown slower than expected, and many CRISPR-based therapies remain years from approval. MaxCyte's 91-employee scale limits its ability to support growing customer demand if the market accelerates, creating a catch-22 between cost discipline and growth investment. The stock's sub-$1 price and $897K daily liquidity create Nasdaq delisting risk and make the stock effectively uninvestable for institutional portfolios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Cell therapy market acceleration — approval and commercial scaling of CRISPR-based therapies beyond Casgevy would drive demand for MaxCyte's electroporation platform across its 200+ SPL partner pipeline [1][2]</w:t>
      </w:r>
    </w:p>
    <w:p>
      <w:pPr>
        <w:spacing w:before="40" w:after="40"/>
        <w:ind w:left="283"/>
      </w:pPr>
      <w:r>
        <w:rPr>
          <w:rFonts w:ascii="Calibri" w:hAnsi="Calibri"/>
          <w:b/>
          <w:color w:val="4A6B25"/>
          <w:sz w:val="20"/>
        </w:rPr>
        <w:t xml:space="preserve">2. </w:t>
      </w:r>
      <w:r>
        <w:rPr>
          <w:rFonts w:ascii="Calibri" w:hAnsi="Calibri"/>
          <w:b w:val="0"/>
          <w:color w:val="3A4A28"/>
          <w:sz w:val="20"/>
        </w:rPr>
        <w:t>ExPERT DTx and Cell Shuttle (FDA AMT-designated) platform launches could open new revenue streams in discovery services and large-scale manufacturing, diversifying beyond instrument sales [1][3]</w:t>
      </w:r>
    </w:p>
    <w:p>
      <w:pPr>
        <w:spacing w:before="40" w:after="40"/>
        <w:ind w:left="283"/>
      </w:pPr>
      <w:r>
        <w:rPr>
          <w:rFonts w:ascii="Calibri" w:hAnsi="Calibri"/>
          <w:b/>
          <w:color w:val="4A6B25"/>
          <w:sz w:val="20"/>
        </w:rPr>
        <w:t xml:space="preserve">3. </w:t>
      </w:r>
      <w:r>
        <w:rPr>
          <w:rFonts w:ascii="Calibri" w:hAnsi="Calibri"/>
          <w:b w:val="0"/>
          <w:color w:val="3A4A28"/>
          <w:sz w:val="20"/>
        </w:rPr>
        <w:t>Trading below cash value ($94M market cap vs. $155.6M cash) creates deep value optionality — any positive catalyst (new SPL agreements, commercial milestones, or acquisition interest) could re-rate the stock significantly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decline — largest customer 15% purchase reduction and FY2026 guidance of $30-32M (down from $33M) signals the platform license business is contracting rather than growing [1]</w:t>
      </w:r>
    </w:p>
    <w:p>
      <w:pPr>
        <w:spacing w:before="40" w:after="40"/>
        <w:ind w:left="283"/>
      </w:pPr>
      <w:r>
        <w:rPr>
          <w:rFonts w:ascii="Calibri" w:hAnsi="Calibri"/>
          <w:b/>
          <w:color w:val="4A6B25"/>
          <w:sz w:val="20"/>
        </w:rPr>
        <w:t xml:space="preserve">2. </w:t>
      </w:r>
      <w:r>
        <w:rPr>
          <w:rFonts w:ascii="Calibri" w:hAnsi="Calibri"/>
          <w:b w:val="0"/>
          <w:color w:val="3A4A28"/>
          <w:sz w:val="20"/>
        </w:rPr>
        <w:t>Sub-$1 stock price and $897K daily liquidity create Nasdaq delisting risk and make the stock uninvestable for institutional portfolios, potentially triggering a negative spiral of forced selling [5]</w:t>
      </w:r>
    </w:p>
    <w:p>
      <w:pPr>
        <w:spacing w:before="40" w:after="40"/>
        <w:ind w:left="283"/>
      </w:pPr>
      <w:r>
        <w:rPr>
          <w:rFonts w:ascii="Calibri" w:hAnsi="Calibri"/>
          <w:b/>
          <w:color w:val="4A6B25"/>
          <w:sz w:val="20"/>
        </w:rPr>
        <w:t xml:space="preserve">3. </w:t>
      </w:r>
      <w:r>
        <w:rPr>
          <w:rFonts w:ascii="Calibri" w:hAnsi="Calibri"/>
          <w:b w:val="0"/>
          <w:color w:val="3A4A28"/>
          <w:sz w:val="20"/>
        </w:rPr>
        <w:t>Cell therapy commercialization timeline risk — the industry has consistently disappointed on adoption speed, and MaxCyte's razor/razorblade model requires clinical-to-commercial conversion that may take years longer than expected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MaxCyte's core business — physical electroporation instruments and consumable processing assemblies used to engineer living cells — operates in a domain where AI cannot substitute the underlying biophysical process of delivering genetic material into cells [2]. The company's proprietary technology requires specialized hardware, validated clinical workflows, and regulatory-approved manufacturing processes that create meaningful barriers to AI disruption. Cell therapy development is heavily regulated and physically complex, reducing substitution risk. However, AI-driven drug discovery platforms could potentially reduce demand for MaxCyte's discovery-stage instruments if computational approaches replace some experimental cell engineering workflows [2][3]. The SeQure assay services business could face some competitive pressure from AI-based analytical tools. AI Opportunity (1/1): AI is accelerating cell therapy development — AI-designed CRISPR guides, AI-optimized cell manufacturing protocols, and AI-driven clinical trial design increase the pace of the cell therapy industry that MaxCyte serves, potentially driving more demand for its electroporation platform over time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MaxCyte Q4/FY2025 Earnings Release — $33.0M revenue (-15% YoY), FY2026 guidance $30-32M, $155.6M cash position, March 2026</w:t>
      </w:r>
    </w:p>
    <w:p>
      <w:pPr>
        <w:spacing w:before="20" w:after="20"/>
        <w:ind w:left="170"/>
      </w:pPr>
      <w:r>
        <w:rPr>
          <w:rFonts w:ascii="Calibri" w:hAnsi="Calibri"/>
          <w:b/>
          <w:color w:val="4A6B25"/>
          <w:sz w:val="15"/>
        </w:rPr>
        <w:t xml:space="preserve">2. </w:t>
      </w:r>
      <w:r>
        <w:rPr>
          <w:rFonts w:ascii="Calibri" w:hAnsi="Calibri"/>
          <w:b w:val="0"/>
          <w:color w:val="3A4A28"/>
          <w:sz w:val="17"/>
        </w:rPr>
        <w:t>MaxCyte corporate website — CEO Maher Masoud profile, ExPERT platform overview, Casgevy CRISPR therapy validation, 25-year innovation history</w:t>
      </w:r>
    </w:p>
    <w:p>
      <w:pPr>
        <w:spacing w:before="20" w:after="20"/>
        <w:ind w:left="170"/>
      </w:pPr>
      <w:r>
        <w:rPr>
          <w:rFonts w:ascii="Calibri" w:hAnsi="Calibri"/>
          <w:b/>
          <w:color w:val="4A6B25"/>
          <w:sz w:val="15"/>
        </w:rPr>
        <w:t xml:space="preserve">3. </w:t>
      </w:r>
      <w:r>
        <w:rPr>
          <w:rFonts w:ascii="Calibri" w:hAnsi="Calibri"/>
          <w:b w:val="0"/>
          <w:color w:val="3A4A28"/>
          <w:sz w:val="17"/>
        </w:rPr>
        <w:t>MaxCyte strategic partnerships — Bristol Myers Squibb, Kite/Gilead, LG Chem manufacturing agreements; FDA AMT designation for Cell Shuttle; ExPERT DTx launch 2026</w:t>
      </w:r>
    </w:p>
    <w:p>
      <w:pPr>
        <w:spacing w:before="20" w:after="20"/>
        <w:ind w:left="170"/>
      </w:pPr>
      <w:r>
        <w:rPr>
          <w:rFonts w:ascii="Calibri" w:hAnsi="Calibri"/>
          <w:b/>
          <w:color w:val="4A6B25"/>
          <w:sz w:val="15"/>
        </w:rPr>
        <w:t xml:space="preserve">4. </w:t>
      </w:r>
      <w:r>
        <w:rPr>
          <w:rFonts w:ascii="Calibri" w:hAnsi="Calibri"/>
          <w:b w:val="0"/>
          <w:color w:val="3A4A28"/>
          <w:sz w:val="17"/>
        </w:rPr>
        <w:t>MaxCyte ESG Summary Report — SASB-guided reporting framework, stakeholder engagement</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MXCT (MaxCyte),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