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NAGE</w:t>
      </w:r>
      <w:r>
        <w:rPr>
          <w:rFonts w:ascii="Calibri" w:hAnsi="Calibri"/>
          <w:b/>
          <w:color w:val="1A2010"/>
          <w:sz w:val="40"/>
        </w:rPr>
        <w:t xml:space="preserve">  Niagen Bioscience, Inc.</w:t>
      </w:r>
    </w:p>
    <w:p>
      <w:pPr>
        <w:spacing w:after="120"/>
      </w:pPr>
      <w:r>
        <w:rPr>
          <w:rFonts w:ascii="Calibri" w:hAnsi="Calibri"/>
          <w:b/>
          <w:color w:val="6E8450"/>
          <w:sz w:val="18"/>
        </w:rPr>
        <w:t>GROWTH SLEEVE · 2026-05-01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Niagen Bioscience (formerly ChromaDex) is the global leader in NAD+ science and healthy-aging research, commercializing nicotinamide riboside (NR) through its flagship Tru Niagen consumer supplement brand and wholesale ingredient business, with an emerging pharmaceutical pipeline targeting NAD+ therapeutics.</w:t>
      </w:r>
    </w:p>
    <w:p>
      <w:r>
        <w:rPr>
          <w:rFonts w:ascii="Calibri" w:hAnsi="Calibri"/>
          <w:b/>
          <w:color w:val="6E8450"/>
          <w:sz w:val="18"/>
        </w:rPr>
        <w:t>117 Employees · https://www.niagenbioscience.com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strategic rebrand from ChromaDex to Niagen Bioscience in March 2025 represents a significant pivot from a diversified ingredients company to a focused NAD+ science platform, and the company has successfully grown Tru Niagen into a leading consumer supplement brand with $129M TTM revenue [1][2]. AI Deployment (0/2): No evidence of AI-powered products or AI-driven operational efficiency gains; the company's innovation is rooted in molecular biology and clinical research on NAD+ precursors. Market Share Leadership (2/2): Niagen Bioscience is the undisputed category leader in NAD+ supplementation, with Niagen holding foundational patents on nicotinamide riboside and the Tru Niagen brand commanding premium positioning in the healthy-aging supplement market [2]. Product Pipeline (1/2): The pharmaceutical segment is developing clinical-grade Niagen for therapeutic applications, and the company recently filed suit against the FDA regarding regulatory classification, but specific drug candidates and timelines remain vague [3]. R&amp;D Intensity (0/1): R&amp;D spending is modest relative to revenue for a biotech, focused primarily on clinical studies supporting supplement efficacy claims.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Niagen Bioscience's mission — 'There's a Better Way to Age' — is specific, thoughtful, and directly connected to the company's science, articulating a genuine vision of transforming cellular health through NAD+ research backed by 25+ years of scientific work and Nobel laureate advisory involvement [2]. Community &amp; Charitable Impact (0/2): No evidence of distinctive philanthropic programs or community investment beyond the inherent health benefits of NAD+ research. Employee Retention (1/2): With 117 employees and a leadership team that includes long-tenured executives like CEO Rob Fried (since 2018), the company appears stable, though no specific retention metrics or employee sentiment data were found [2]. Insider Buying (1/2): Executive Chairman Frank Jaksch, the founder, maintains significant ownership and has been involved since 1999, suggesting long-term insider alignment, though no evidence of recent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NAGE delivers exceptional financial metrics across the board: D/E of just 3.7% with $64.6M cash against $2.8M debt provides a fortress balance sheet [1]. ROE of 28.3% significantly exceeds the 15% target, and revenue has grown at a 21.6% 3-year CAGR from $72M (2022) to $129.4M (2025) with 16.2% YoY growth [1]. Forward P/E of 14.8x is well below the 20x target, and profit margin of 13.4% with 64.3% gross margins demonstrates improving profitability as the consumer brand scales [1]. The only metric below target is profit margin at 13.4% vs. the 20% ideal, reflecting ongoing investment in brand-building and the pharmaceutical segment. Liquidity is adequate at $5.5M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Niagen Bioscience demonstrates genuine commitment to its NAD+ science mission through 25+ years of sustained research investment, strategic rebranding to focus on its core purpose, and a leadership team with deep tenure. The company has evolved from a diversified chemical ingredients supplier (ChromaDex) to a focused healthy-aging platform, showing meaningful existential flexibility in service of its scientific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Niagen Bioscience's purpose — advancing NAD+ science to transform how people age — is genuine, specific, and has guided consistent strategic decisions including the 2025 rebrand from ChromaDex, divestiture of non-core ingredient lines, and sustained investment in clinical research through years of unprofitability [2]. The involvement of Nobel laureates and decades of scientific publication create authentic purpose beyond profit. However, the cause hasn't yet survived a true existential crisis or leadership transition from the founding team.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117 employees, Niagen Bioscience operates as a small, science-driven organization where leadership is accessible. CEO Rob Fried's 8-year tenure and founder Frank Jaksch's continued involvement as Executive Chairman provide stability [2]. However, no specific employee sentiment data, turnover metrics, or cultural evidence beyond leadership stability was found to assess trust levels within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Niagen Bioscience operates in a competitive NAD+ supplement space alongside Elysium Health (which licenses competing NAD+ precursor NMN) and various generic NR/NMN supplement brands. The company's competitive language focuses on advancing the science of NAD+ rather than defeating competitors — the rebrand to Niagen Bioscience emphasizes scientific leadership and research credibility rather than market share warfare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ChromaDex (a diversified phytochemical reference standards and ingredient company) to Niagen Bioscience (a focused NAD+ science and consumer health company) represents a meaningful strategic pivot that refocused the entire business around a single scientific platform [2]. While not as dramatic as Apple's Mac-to-iPhone transformation, this rebrand involved shedding legacy business lines and betting the company's future on NAD+ science — a purposeful narrowing in service of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Niagen Bioscience invested heavily in NAD+ clinical research and brand-building through years of operating losses before achieving profitability, demonstrating willingness to sacrifice near-term earnings for long-term scientific and commercial positioning [1]. The decision to sue the FDA over NR classification shows willingness to fight regulatory battles for the cause [3]. However, these decisions were arguably necessary for survival rather than discretionary courageous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Niagen Bioscience is the category-defining leader in NAD+ science, commanding a fortress balance sheet (D/E 3.7%, $64.6M cash) with accelerating profitability — 28.3% ROE, 16.2% revenue growth, and a 14.8x forward P/E that significantly discounts the 21.6% 3-year revenue CAGR [1]. The strategic rebrand from ChromaDex focuses investor narrative on the high-growth Tru Niagen consumer brand and emerging pharmaceutical pipeline, while the Inspire score of 39 (ALIGNED) and zero negative attributions support values-based portfolio inclusion. At $377M market cap, the stock trades at just 2.9x trailing revenue for a profitable, growing, patent-protected health science company.</w:t>
      </w:r>
    </w:p>
    <w:p>
      <w:pPr>
        <w:spacing w:after="120"/>
      </w:pPr>
      <w:r>
        <w:rPr>
          <w:rFonts w:ascii="Calibri" w:hAnsi="Calibri"/>
          <w:b w:val="0"/>
          <w:color w:val="3A4A28"/>
          <w:sz w:val="20"/>
        </w:rPr>
        <w:t>The bear case centers on concentration risk and regulatory vulnerability: the entire business depends on a single molecule (nicotinamide riboside) and its NAD+ application, meaning any negative clinical study or regulatory reclassification by the FDA could devastate the thesis — the active lawsuit against the FDA over NR classification underscores this risk [3]. The stock has declined 68% from its 52-week high of $14.69, suggesting the market has significant concerns about growth sustainability or the FDA outcome. With only 117 employees and a $377M market cap, NAGE remains a micro-cap with limited analyst coverage, thin institutional ownership, and a 2.2 beta that amplifies market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lawsuit resolution in favor of Niagen Bioscience would remove the largest regulatory overhang and potentially expand the addressable market for NR-based products</w:t>
      </w:r>
    </w:p>
    <w:p>
      <w:pPr>
        <w:spacing w:before="40" w:after="40"/>
        <w:ind w:left="283"/>
      </w:pPr>
      <w:r>
        <w:rPr>
          <w:rFonts w:ascii="Calibri" w:hAnsi="Calibri"/>
          <w:b/>
          <w:color w:val="4A6B25"/>
          <w:sz w:val="20"/>
        </w:rPr>
        <w:t xml:space="preserve">2. </w:t>
      </w:r>
      <w:r>
        <w:rPr>
          <w:rFonts w:ascii="Calibri" w:hAnsi="Calibri"/>
          <w:b w:val="0"/>
          <w:color w:val="3A4A28"/>
          <w:sz w:val="20"/>
        </w:rPr>
        <w:t>Pharmaceutical segment advancement with clinical-grade Niagen toward therapeutic applications could unlock a significantly larger market opportunity beyond consumer supplements</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as Tru Niagen scales direct-to-consumer e-commerce channel, with potential to reach 20%+ net margins given 64.3% gross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Single-molecule concentration risk — the entire business depends on nicotinamide riboside and NAD+ science; any negative clinical finding or competing research undermining NAD+ supplementation efficacy would be existential</w:t>
      </w:r>
    </w:p>
    <w:p>
      <w:pPr>
        <w:spacing w:before="40" w:after="40"/>
        <w:ind w:left="283"/>
      </w:pPr>
      <w:r>
        <w:rPr>
          <w:rFonts w:ascii="Calibri" w:hAnsi="Calibri"/>
          <w:b/>
          <w:color w:val="4A6B25"/>
          <w:sz w:val="20"/>
        </w:rPr>
        <w:t xml:space="preserve">2. </w:t>
      </w:r>
      <w:r>
        <w:rPr>
          <w:rFonts w:ascii="Calibri" w:hAnsi="Calibri"/>
          <w:b w:val="0"/>
          <w:color w:val="3A4A28"/>
          <w:sz w:val="20"/>
        </w:rPr>
        <w:t>Active FDA regulatory challenge over NR classification creates binary outcome risk; an adverse ruling could restrict Niagen's ability to market NR as a dietary supplement</w:t>
      </w:r>
    </w:p>
    <w:p>
      <w:pPr>
        <w:spacing w:before="40" w:after="40"/>
        <w:ind w:left="283"/>
      </w:pPr>
      <w:r>
        <w:rPr>
          <w:rFonts w:ascii="Calibri" w:hAnsi="Calibri"/>
          <w:b/>
          <w:color w:val="4A6B25"/>
          <w:sz w:val="20"/>
        </w:rPr>
        <w:t xml:space="preserve">3. </w:t>
      </w:r>
      <w:r>
        <w:rPr>
          <w:rFonts w:ascii="Calibri" w:hAnsi="Calibri"/>
          <w:b w:val="0"/>
          <w:color w:val="3A4A28"/>
          <w:sz w:val="20"/>
        </w:rPr>
        <w:t>68% decline from 52-week highs with 2.2 beta and limited analyst coverage suggests significant market skepticism and potential for further downside in risk-off environments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Niagen Bioscience's core business involves patented molecular biology (nicotinamide riboside), physical manufacturing of dietary supplements, clinical research on NAD+ precursors, and consumer product distribution — all physical-world operations that AI structurally cannot displace [2]. The company's competitive advantage rests on foundational patents, decades of accumulated clinical evidence, and regulatory moats around supplement and pharmaceutical approvals. AI cannot synthesize molecules, run clinical trials, or manufacture supplements. If anything, AI may accelerate discovery of new NAD+ applications, potentially expanding the addressable market. AI Opportunity (0/1): No AI-generated revenue; the company's value creation is entirely in biochemistry and consumer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NAGE key statistics and financials, accessed May 2026</w:t>
      </w:r>
    </w:p>
    <w:p>
      <w:pPr>
        <w:spacing w:before="20" w:after="20"/>
        <w:ind w:left="170"/>
      </w:pPr>
      <w:r>
        <w:rPr>
          <w:rFonts w:ascii="Calibri" w:hAnsi="Calibri"/>
          <w:b/>
          <w:color w:val="4A6B25"/>
          <w:sz w:val="15"/>
        </w:rPr>
        <w:t xml:space="preserve">2. </w:t>
      </w:r>
      <w:r>
        <w:rPr>
          <w:rFonts w:ascii="Calibri" w:hAnsi="Calibri"/>
          <w:b w:val="0"/>
          <w:color w:val="3A4A28"/>
          <w:sz w:val="17"/>
        </w:rPr>
        <w:t>Niagen Bioscience corporate website and leadership page,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Niagen Bioscience, Inc. v. U.S. Food and Drug Administration — Law360,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