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NAMM</w:t>
      </w:r>
      <w:r>
        <w:rPr>
          <w:rFonts w:ascii="Calibri" w:hAnsi="Calibri"/>
          <w:b/>
          <w:color w:val="1A2010"/>
          <w:sz w:val="40"/>
        </w:rPr>
        <w:t xml:space="preserve">  Namib Minerals</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Cayman Islands</w:t>
      </w:r>
    </w:p>
    <w:p>
      <w:pPr>
        <w:spacing w:after="80"/>
      </w:pPr>
      <w:r>
        <w:rPr>
          <w:rFonts w:ascii="Calibri" w:hAnsi="Calibri"/>
          <w:b w:val="0"/>
          <w:color w:val="3A4A28"/>
          <w:sz w:val="20"/>
        </w:rPr>
        <w:t>Namib Minerals is a gold producer operating How Mine, Mazowe Mine, and Redwing Mine in Zimbabwe, with additional exploration assets in the Democratic Republic of Congo. The company is incorporated in the Cayman Islands and listed on Nasdaq Global Market.</w:t>
      </w:r>
    </w:p>
    <w:p>
      <w:r>
        <w:rPr>
          <w:rFonts w:ascii="Calibri" w:hAnsi="Calibri"/>
          <w:b/>
          <w:color w:val="6E8450"/>
          <w:sz w:val="18"/>
        </w:rPr>
        <w:t>1,394 Employees · https://www.namibminerals.com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Namib Minerals operates traditional underground and open-pit gold mines in Zimbabwe with no disclosed technology differentiation or innovation pipeline [1]. The mining operations at How, Mazowe, and Redwing rely on conventional extraction methods, and the company's $80.3M annual revenue suggests small-scale production. Limited public information about operational efficiency improvements or mine optimization programs constrains the assessment.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Namib Minerals provides minimal public information about leadership, corporate culture, or organizational mission beyond basic mining operations [1]. The stock's 96% decline from its 52-week high of $55.00 to $2.22 reflects severe investor disappointment, and operating in Zimbabwe — with challenging regulatory, currency, and political environments — creates additional stakeholder concern. The 1,394-employee workforce faces significant country-specific risks.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Namib Minerals has negative profit margin of -21.8%, null ROE data, null D/E data, and revenue decline of -13.2% YoY [1]. The forward P/E of 1.83x appears extremely cheap but reflects speculative earnings projections for a company with no reported profitability. Gross margins of 47.6% are reasonable for gold mining, and free cash flow of $42.4M is positive, but the $119M market cap and limited financial disclosure create significant opacity [2]. Zimbabwe-domiciled operations face currency and repatriation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Namib Minerals exhibits predominantly finite-game characteristics — the company operates traditional gold mines in a challenging jurisdiction with limited public information about long-term strategy, innovation investment, or stakeholder engagement. The 96% stock decline from highs and minimal corporate communications suggest a focus on operational survival rather than long-term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mining in Zimbabwe provides employment for 1,394 workers and contributes to the local economy, which represents a meaningful social contribution in a developing nation [1]. However, no articulated corporate mission or strategic vision beyond basic mining operations has been publicly disclosed.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1,394-employee workforce operates in a challenging Zimbabwe environment with currency instability, infrastructure limitations, and political uncertainty [1]. Limited public information about employee welfare, safety records, or community engagement constrains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Namib competes with other Zimbabwean gold miners (Caledonia Mining, RioZim) and global mid-tier producers, but its small scale and country-specific risks limit competitive relevance [1]. The company lacks the resources to invest in competitive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DRC exploration assets provide some geographic diversification beyond Zimbabwe, but both countries present significant operating challenges [1]. Limited financial resources constrain strategic flexibility and ability to pursue new opportunities.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gold mines in Zimbabwe and DRC requires operational courage, but no evidence of bold strategic decisions or innovative approaches to value creation has been publicly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Namib Minerals trades at an extraordinarily low forward P/E of 1.83x with $42.4M in positive free cash flow and gross margins of 47.6%, offering theoretical deep value in a gold mining company leveraged to sustained high gold prices above $3,000/oz [1]. The company's three operating mines in Zimbabwe produce gold at what appear to be competitive costs, and record gold prices create a favorable revenue environment. At $119M market cap with $80.3M in revenue, the company trades below 1.5x sales.</w:t>
      </w:r>
    </w:p>
    <w:p>
      <w:pPr>
        <w:spacing w:after="120"/>
      </w:pPr>
      <w:r>
        <w:rPr>
          <w:rFonts w:ascii="Calibri" w:hAnsi="Calibri"/>
          <w:b w:val="0"/>
          <w:color w:val="3A4A28"/>
          <w:sz w:val="20"/>
        </w:rPr>
        <w:t>The risks are substantial and jurisdiction-specific — Zimbabwe presents currency risk (hyperinflation history), repatriation risk (cash may be trapped in-country), regulatory risk (mining license uncertainty), and political risk that could disrupt operations at any time [1]. The 96% stock decline from $55.00 to $2.22 suggests either severe dilution or fundamental business deterioration that the limited financial disclosures do not fully explain. Null D/E and ROE data indicate incomplete financial reporting, and the Cayman Islands incorporation adds corporate governance opacity [2]. The negative profit margin of -21.8% despite high gold prices and 47.6% gross margins suggests significant below-the-line charges or non-cash impairments that may recur.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sustained above $3,000/oz driving revenue growth and potential profitability inflection at existing operations [1]</w:t>
      </w:r>
    </w:p>
    <w:p>
      <w:pPr>
        <w:spacing w:before="40" w:after="40"/>
        <w:ind w:left="283"/>
      </w:pPr>
      <w:r>
        <w:rPr>
          <w:rFonts w:ascii="Calibri" w:hAnsi="Calibri"/>
          <w:b/>
          <w:color w:val="4A6B25"/>
          <w:sz w:val="20"/>
        </w:rPr>
        <w:t xml:space="preserve">2. </w:t>
      </w:r>
      <w:r>
        <w:rPr>
          <w:rFonts w:ascii="Calibri" w:hAnsi="Calibri"/>
          <w:b w:val="0"/>
          <w:color w:val="3A4A28"/>
          <w:sz w:val="20"/>
        </w:rPr>
        <w:t>DRC exploration success that could define new resources and attract joint venture or acquisition interest from larger mining companies [1]</w:t>
      </w:r>
    </w:p>
    <w:p>
      <w:pPr>
        <w:spacing w:before="40" w:after="40"/>
        <w:ind w:left="283"/>
      </w:pPr>
      <w:r>
        <w:rPr>
          <w:rFonts w:ascii="Calibri" w:hAnsi="Calibri"/>
          <w:b/>
          <w:color w:val="4A6B25"/>
          <w:sz w:val="20"/>
        </w:rPr>
        <w:t xml:space="preserve">3. </w:t>
      </w:r>
      <w:r>
        <w:rPr>
          <w:rFonts w:ascii="Calibri" w:hAnsi="Calibri"/>
          <w:b w:val="0"/>
          <w:color w:val="3A4A28"/>
          <w:sz w:val="20"/>
        </w:rPr>
        <w:t>Operational turnaround at Zimbabwe mines achieving profitability at the net income level, which at current gold prices should be achievable with modest cost discipline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Zimbabwe political or regulatory disruption — mining license revocation, nationalization, or policy changes that restrict foreign ownership or cash repatriation [1]</w:t>
      </w:r>
    </w:p>
    <w:p>
      <w:pPr>
        <w:spacing w:before="40" w:after="40"/>
        <w:ind w:left="283"/>
      </w:pPr>
      <w:r>
        <w:rPr>
          <w:rFonts w:ascii="Calibri" w:hAnsi="Calibri"/>
          <w:b/>
          <w:color w:val="4A6B25"/>
          <w:sz w:val="20"/>
        </w:rPr>
        <w:t xml:space="preserve">2. </w:t>
      </w:r>
      <w:r>
        <w:rPr>
          <w:rFonts w:ascii="Calibri" w:hAnsi="Calibri"/>
          <w:b w:val="0"/>
          <w:color w:val="3A4A28"/>
          <w:sz w:val="20"/>
        </w:rPr>
        <w:t>Currency and repatriation risk — Zimbabwe dollar instability and potential inability to convert and repatriate mining profits to shareholders [1]</w:t>
      </w:r>
    </w:p>
    <w:p>
      <w:pPr>
        <w:spacing w:before="40" w:after="40"/>
        <w:ind w:left="283"/>
      </w:pPr>
      <w:r>
        <w:rPr>
          <w:rFonts w:ascii="Calibri" w:hAnsi="Calibri"/>
          <w:b/>
          <w:color w:val="4A6B25"/>
          <w:sz w:val="20"/>
        </w:rPr>
        <w:t xml:space="preserve">3. </w:t>
      </w:r>
      <w:r>
        <w:rPr>
          <w:rFonts w:ascii="Calibri" w:hAnsi="Calibri"/>
          <w:b w:val="0"/>
          <w:color w:val="3A4A28"/>
          <w:sz w:val="20"/>
        </w:rPr>
        <w:t>Corporate governance opacity — Cayman Islands incorporation, limited financial disclosure, and null key financial metrics create information asymmetry that disadvantages minority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has minimal direct impact on Namib Minerals' traditional gold mining operations in Zimbabwe. AI tools for geological modeling and mine planning could theoretically improve efficiency, but the company's operating environment and scale make AI adoption unlikely in the near term [1]. Gold mining fundamentals are driven by commodity prices and geology, not technology disruption, providing natural insulation from AI-related threats.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Namib Minerals SEC filings and corporate website,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NAMM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