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NAT</w:t>
      </w:r>
      <w:r>
        <w:rPr>
          <w:rFonts w:ascii="Calibri" w:hAnsi="Calibri"/>
          <w:b/>
          <w:color w:val="1A2010"/>
          <w:sz w:val="40"/>
        </w:rPr>
        <w:t xml:space="preserve">  Nordic American Tankers Limited</w:t>
      </w:r>
    </w:p>
    <w:p>
      <w:pPr>
        <w:spacing w:after="120"/>
      </w:pPr>
      <w:r>
        <w:rPr>
          <w:rFonts w:ascii="Calibri" w:hAnsi="Calibri"/>
          <w:b/>
          <w:color w:val="6E8450"/>
          <w:sz w:val="18"/>
        </w:rPr>
        <w:t>DIVIDEND SLEEVE · 2026-04-01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Bermuda</w:t>
      </w:r>
    </w:p>
    <w:p>
      <w:pPr>
        <w:spacing w:after="80"/>
      </w:pPr>
      <w:r>
        <w:rPr>
          <w:rFonts w:ascii="Calibri" w:hAnsi="Calibri"/>
          <w:b w:val="0"/>
          <w:color w:val="3A4A28"/>
          <w:sz w:val="20"/>
        </w:rPr>
        <w:t>Nordic American Tankers is an international tanker shipping company focused exclusively on owning, operating, and chartering Suezmax crude oil tankers. The company operates a fleet of approximately 20 Suezmax vessels primarily on the spot market and has paid quarterly dividends since 1997. NAT is incorporated in Bermuda and listed on the NYSE.</w:t>
      </w:r>
    </w:p>
    <w:p>
      <w:r>
        <w:rPr>
          <w:rFonts w:ascii="Calibri" w:hAnsi="Calibri"/>
          <w:b/>
          <w:color w:val="6E8450"/>
          <w:sz w:val="18"/>
        </w:rPr>
        <w:t>https://www.nat.bm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NAT operates the same Suezmax tanker business it has run since 1995 with no meaningful product innovation, business model transformation, or market pivot in the last five years. The company's strategy is to own and charter tankers on the spot market — a commodity business with no differentiation [1]. AI Deployment (0/2): No AI products, AI-driven efficiency programs, or digital transformation initiatives. NAT is a traditional shipping company with no technology strategy [2]. Market Share (0/2): NAT's fleet of ~20 Suezmax tankers represents a tiny fraction of the global tanker fleet. The company is a commodity participant with no market share leadership or differentiation — day rates are set by the global spot market, not by NAT [1]. Pipeline (1/2): NAT acquired two Suezmax tankers and has two new vessels under construction for 2028 delivery, expanding fleet capacity. The company has also secured a one-year contract at &gt;$50,000/day with a major oil company, providing some revenue visibility [1]. R&amp;D Intensity (0/1): No R&amp;D spending. This is a pure asset-operating company with no investment in technology or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NAT does not articulate a mission, purpose, or vision beyond generating returns for shareholders through tanker operations. The company's website describes what it does but not why it exists beyond commercial activity [2]. There is no aspirational statement about the role of shipping in the global economy or any broader purpose. Community Impact (0/2): No evidence of charitable programs, community investment, or stakeholder engagement beyond shareholders. Employee Retention (0/2): Glassdoor rating of 3.0/5 with 2.0 scores for both Senior Management and Career Opportunities suggests weak organizational culture. However, the sample size is very small for a company with a minimal onshore workforce [2]. Insider Buying (2/2): Strong and recent insider buying — CEO Herbjorn Hansson purchased 200,000 shares at $5.70 on March 3, 2026, raising his stake to 5.5 million shares, and Vice-Chairman Alexander Hansson simultaneously purchased 200,000 shares at the same price [2]. This represents meaningful personal conviction from the founding family.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NAT's financial profile reflects the extreme cyclicality of the tanker spot market. Full-year 2025 revenue of $183.3M declined approximately 47% from $349.7M in 2024 as spot rates compressed, though Q4 2025 showed recovery with $59.5M revenue and $34.7M EBITDA on $35,000/day rates [1]. D/E of 95.2% is moderate for a capital-intensive shipping company. ROE of 2.6% and profit margin of 6.7% are weak, reflecting the depressed rate environment through most of 2025 [4]. Forward P/E of 21.2x assumes a significant earnings recovery. The dividend payout ratio of 971% on trailing earnings is unsustainable — the $0.68/share annual dividend far exceeds trailing EPS of $0.06 [1]. The company has $100M+ in cash, providing liquidity for fleet maintenance and expansion. Consecutive quarterly dividends since 1997 (114 quarters) is the strongest metric, but zero dividend growth consistency and an unsustainable payout ratio weigh heavily [1]. Liquidity floor cleared: 4.5M avg volume × $5.73 = $25.7M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Nordic American Tankers is the quintessential finite game player in Sinek's framework. The company exists to generate dividends from tanker spot rates — a purely financial objective with no aspirational dimension. There is no Just Cause, no evidence of courageous leadership decisions, no organizational trust indicators, no strategic flexibility (same business model for 31 years), and no worthy rival awareness. CEO Hansson's 31-year tenure provides continuity but reflects entrenchment rather than evolving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NAT has no articulated purpose beyond returning capital to shareholders through tanker operations. CEO Hansson's public communications focus exclusively on day rates, fleet utilization, and dividends — there is no vision of a better future, no service-oriented cause, and no aspirational dimension [2]. The company is a financial vehicle for Suezmax spot rate exposure, which is a legitimate business but the opposite of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while limited in sample size, shows a 3.0/5 overall rating with 2.0 scores for Senior Management and Career Opportunities [2]. The company operates with a minimal onshore staff, which limits team culture assessment. However, the family-controlled governance structure (Hansson family holding significant equity) and the company's Bermuda incorporation suggest a top-down management style with limited organizational depth.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NAT management acknowledging competitors' strengths or using competitive dynamics to improve. The tanker industry is a commodity market where competition is about rates and fleet positioning, not about learning from rivals. Management communications focus on market conditions and fleet updates rather than competitive strategy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NAT has operated the identical business model — owning and chartering Suezmax crude oil tankers on the spot market — for 31 years since its founding in 1995 [2]. There has been no strategic pivot, no adjacent market entry, no business model evolution. The company's fleet expansion (acquiring two tankers, ordering two new builds for 2028) represents scale-up of the existing model, not transformation. In an industry facing long-term existential questions about fossil fuel demand and decarbonization, NAT has shown zero flexibility or forward-looking adaptation.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NAT's dividend policy — paying 971% of trailing earnings as dividends — prioritizes current income distribution over balance sheet strength and fleet modernization [1]. The company's fleet age (average 13 years, among the highest in the peer group) suggests underinvestment in fleet renewal. Maintaining dividends when earnings don't support them is the opposite of courageous capital allocation — it is short-term appeasement at the expense of long-term financial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 offers a pure-play exposure to Suezmax crude oil tanker spot rates with an 8.0% dividend yield and 114 consecutive quarterly dividends since 1997 [1]. Q4 2025 showed a recovery with $59.5M revenue, $34.7M EBITDA, and $35,000/day rates, while the company has booked nearly two-thirds of Q1 2026 spot days at ~$55,000/day — a significant rate improvement [1]. The stock is up 63% YTD from year-end 2025, reflecting the tanker rate recovery. CEO Hansson and Vice-Chairman Alexander Hansson purchased a combined 400,000 shares at $5.70 in March 2026, signaling family conviction in the rate cycle [2]. Fleet expansion with two new Suezmax orders for 2028 delivery and a one-year contract at &gt;$50,000/day with a major oil company provide near-term visibility.</w:t>
      </w:r>
    </w:p>
    <w:p>
      <w:pPr>
        <w:spacing w:after="120"/>
      </w:pPr>
      <w:r>
        <w:rPr>
          <w:rFonts w:ascii="Calibri" w:hAnsi="Calibri"/>
          <w:b w:val="0"/>
          <w:color w:val="3A4A28"/>
          <w:sz w:val="20"/>
        </w:rPr>
        <w:t>The bear case is formidable. NAT's full-year 2025 revenue collapsed 47% to $183.3M from $349.7M in 2024, demonstrating the extreme cyclicality that makes this business nearly impossible to value with confidence [1]. The trailing P/E of 95.5x and dividend payout ratio of 971% are deeply unsustainable — the company is paying dividends far in excess of earnings, effectively returning capital rather than distributing profits [4]. The $5.73 share price sits above the $2.67 DCF fair value estimated by Simply Wall St, suggesting the current price bakes in the rate recovery. Both Sustainalytics ('Weak' management) and MSCI ('Poor' industry score) rate NAT's ESG risk management negatively, and the fleet age of ~13 years is among the highest in the peer group [3]. The long-term structural risk of declining global oil demand from energy transition threatens the entire business model over a 10-20 year horizon. Jim Cramer has characterized NAT as a 'play with house money' stock, reflecting its speculative rather than investment-grade nature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Suezmax spot rate recovery — nearly two-thirds of Q1 2026 days booked at ~$55,000/day vs. $35,000/day in Q4 2025, with bookings extending into Q2 2026 [1]</w:t>
      </w:r>
    </w:p>
    <w:p>
      <w:pPr>
        <w:spacing w:before="40" w:after="40"/>
        <w:ind w:left="283"/>
      </w:pPr>
      <w:r>
        <w:rPr>
          <w:rFonts w:ascii="Calibri" w:hAnsi="Calibri"/>
          <w:b/>
          <w:color w:val="4A6B25"/>
          <w:sz w:val="20"/>
        </w:rPr>
        <w:t xml:space="preserve">2. </w:t>
      </w:r>
      <w:r>
        <w:rPr>
          <w:rFonts w:ascii="Calibri" w:hAnsi="Calibri"/>
          <w:b w:val="0"/>
          <w:color w:val="3A4A28"/>
          <w:sz w:val="20"/>
        </w:rPr>
        <w:t>Fleet expansion — two new Suezmax vessels under construction for 2028 delivery and two recent acquisitions expand capacity into a tight vessel supply market [1]</w:t>
      </w:r>
    </w:p>
    <w:p>
      <w:pPr>
        <w:spacing w:before="40" w:after="40"/>
        <w:ind w:left="283"/>
      </w:pPr>
      <w:r>
        <w:rPr>
          <w:rFonts w:ascii="Calibri" w:hAnsi="Calibri"/>
          <w:b/>
          <w:color w:val="4A6B25"/>
          <w:sz w:val="20"/>
        </w:rPr>
        <w:t xml:space="preserve">3. </w:t>
      </w:r>
      <w:r>
        <w:rPr>
          <w:rFonts w:ascii="Calibri" w:hAnsi="Calibri"/>
          <w:b w:val="0"/>
          <w:color w:val="3A4A28"/>
          <w:sz w:val="20"/>
        </w:rPr>
        <w:t>Insider buying — Hansson family purchased 400,000 shares at $5.70 in March 2026, the strongest conviction signal from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earnings cyclicality — revenue swung from $392M (2023) to $350M (2024) to $183M (2025), demonstrating that tanker spot rates can halve in a single year, making earnings essentially unpredictable [1][4]</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 971% payout ratio on trailing earnings means the $0.68/share annual dividend is being funded from cash reserves rather than earnings, raising risk of a dividend cut if rates don't recover sustainably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 declining global oil demand over 10-20 years from electrification and renewable energy threatens the structural relevance of crude oil tanker shipping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Nordic American Tankers operates in one of the most AI-immune businesses in existence — physically transporting crude oil across oceans in Suezmax tankers. AI cannot replace ships, crews, ports, or the physical infrastructure required to move 1 million barrels of crude oil per voyage [2]. The tanker industry is driven entirely by global oil supply/demand dynamics, geopolitical events, and vessel supply/demand — none of which AI can substitute. If anything, AI-driven demand for electricity and data center power increases global energy consumption, potentially supporting oil demand and tanker rates. No analysts have identified AI as a risk factor for tanker shipping companies [2]. AI Opportunity (0/1): NAT does not generate any AI-related revenue and has no AI products or services. The company is a pure physical asset operator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Nordic American Tankers Q4 2025 Earnings Release and FY2025 Financial Results, February 26, 2026</w:t>
      </w:r>
    </w:p>
    <w:p>
      <w:pPr>
        <w:spacing w:before="20" w:after="20"/>
        <w:ind w:left="170"/>
      </w:pPr>
      <w:r>
        <w:rPr>
          <w:rFonts w:ascii="Calibri" w:hAnsi="Calibri"/>
          <w:b/>
          <w:color w:val="4A6B25"/>
          <w:sz w:val="15"/>
        </w:rPr>
        <w:t xml:space="preserve">2. </w:t>
      </w:r>
      <w:r>
        <w:rPr>
          <w:rFonts w:ascii="Calibri" w:hAnsi="Calibri"/>
          <w:b w:val="0"/>
          <w:color w:val="3A4A28"/>
          <w:sz w:val="17"/>
        </w:rPr>
        <w:t>Nordic American Tankers CEO Profile, Insider Purchases, Glassdoor Reviews, and Market Commentary,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and MSCI ESG Risk Ratings for Nordic American Tankers,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NAT (Nordic American Tankers),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