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NBIX</w:t>
      </w:r>
      <w:r>
        <w:rPr>
          <w:rFonts w:ascii="Calibri" w:hAnsi="Calibri"/>
          <w:b/>
          <w:color w:val="1A2010"/>
          <w:sz w:val="40"/>
        </w:rPr>
        <w:t xml:space="preserve">  Neurocrine Biosciences, Inc.</w:t>
      </w:r>
    </w:p>
    <w:p>
      <w:pPr>
        <w:spacing w:after="120"/>
      </w:pPr>
      <w:r>
        <w:rPr>
          <w:rFonts w:ascii="Calibri" w:hAnsi="Calibri"/>
          <w:b/>
          <w:color w:val="6E8450"/>
          <w:sz w:val="18"/>
        </w:rPr>
        <w:t>GROWTH SLEEVE · 2026-05-02 · Inspire: 48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Neurocrine Biosciences discovers, develops, and commercializes pharmaceuticals for neurological, psychiatric, endocrine, and immunological disorders. Key products include INGREZZA for tardive dyskinesia and Huntington's chorea, and CRENESSITY for congenital adrenal hyperplasia.</w:t>
      </w:r>
    </w:p>
    <w:p>
      <w:r>
        <w:rPr>
          <w:rFonts w:ascii="Calibri" w:hAnsi="Calibri"/>
          <w:b/>
          <w:color w:val="6E8450"/>
          <w:sz w:val="18"/>
        </w:rPr>
        <w:t>2,000 Employees · https://www.neurocrine.com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Neurocrine's R&amp;D transformation showcased at its December 2025 R&amp;D Day demonstrates deep pipeline innovation across neuroscience and endocrinology, with CRENESSITY representing the first new mechanism for congenital adrenal hyperplasia (CAH) in decades [1][3]. The company leverages AI partnerships for novel chemical scaffold identification while maintaining proprietary drug development expertise. INGREZZA dominates tardive dyskinesia with real-world persistence advantages over AUSTEDO XR, demonstrating sustained innovation-driven market leadership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is solid for biotech, with employees noting authentic leadership and genuine investment in career development [3]. New CEO Kyle Gano (appointed October 2024) inherits a mission-driven culture focused on underserved neurological conditions. The Neurocrine Access Support program providing free patient assistance demonstrates purpose beyond profit. Some Glassdoor concerns about favoritism and internal politics temper the score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financial profile with FY2025 revenue of $2.83B (+22% YoY), Q4 revenue of $798M (+29% YoY), and 2026 INGREZZA guidance of $2.7-2.8B [1][2]. Forward P/E of 10.0 is remarkably attractive for a high-growth biopharma, PEG of 0.43 signals deep undervaluation, and minimal D/E of 14.5% provides balance sheet flexibility. Profit margin of 16.7% with rapid expansion trajectory. Liquidity: 1.15M × $131.78 = $151.8M daily turnover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Neurocrine demonstrates strong infinite game characteristics through decades-long commitment to underserved neurological conditions, patient access programs, and pipeline investments in rare diseases where commercial returns may take years to materialize. The R&amp;D transformation represents playing to advance science rather than optimize quarterly earnings [1][3].</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Neurocrine's purpose of solving previously untreatable neurological and endocrine conditions represents a compelling just cause — CRENESSITY is the first new mechanism for CAH patients in decades, and INGREZZA transformed tardive dyskinesia treatment [1][4]. The Neurocrine Access Support program and pricing philosophy based on 'value and impact to patients' demonstrate mission authenticity beyond shareholder returns [6].</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3.8/5 with reported authentic culture and career development investment is above-average for biotech [3]. The 2,000-employee organization maintains startup-like agility while scaling commercially. CEO transition to Kyle Gano was smooth, suggesting organizational resilience. Some internal politics concerns prevent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Neurocrine competes against Teva (AUSTEDO XR) in tardive dyskinesia and multiple biopharma firms in endocrinology, using competitive pressure to drive real-world evidence generation and expanded indications [4]. The company's R&amp;D Day explicitly addressed differentiation versus rivals through mechanism of action advantages and clinical data superiority.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Neurocrine has demonstrated remarkable existential flexibility by evolving from a single-product company (INGREZZA) into a multi-franchise biopharma with CRENESSITY launch, endocrinology expansion, and a deep pipeline across neuroscience [1][3]. The R&amp;D transformation and 'dual-mechanism innovation' strategy in CAH shows willingness to reinvent while building on core competencies.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Neurocrine invested heavily in rare disease R&amp;D with uncertain commercial outcomes, launched CRENESSITY in the nascent CAH market without established guidance on uptake curves, and maintained expanded sales force investments despite price concessions on INGREZZA formulary access [1][2]. These decisions prioritize long-term franchise building over short-term margin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Neurocrine Biosciences is a premier neuroscience franchise trading at a compelling forward P/E of 10x with a PEG of 0.43, representing significant undervaluation for a company delivering 28% revenue growth and launching CRENESSITY into a multi-billion dollar rare disease opportunity. The combination of INGREZZA's durable growth ($2.7-2.8B 2026 guidance) and pipeline optionality creates an asymmetric risk/reward profile.</w:t>
      </w:r>
    </w:p>
    <w:p>
      <w:pPr>
        <w:spacing w:after="120"/>
      </w:pPr>
      <w:r>
        <w:rPr>
          <w:rFonts w:ascii="Calibri" w:hAnsi="Calibri"/>
          <w:b w:val="0"/>
          <w:color w:val="3A4A28"/>
          <w:sz w:val="20"/>
        </w:rPr>
        <w:t>The CRENESSITY launch adds a second growth vector with 'meaningful, steady new patient additions every quarter' per management, while the R&amp;D pipeline offers additional catalysts across neurology and endocrinology. At current valuation, the market appears to price only base-case INGREZZA growth with minimal credit for pipeline assets, CRENESSITY ramp, or potential indication expansions. Primary risk is INGREZZA patent expiry timeline and generic competition.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CRENESSITY commercial launch ramp with steady new patient additions in congenital adrenal hyperplasia — first new mechanism in decades</w:t>
      </w:r>
    </w:p>
    <w:p>
      <w:pPr>
        <w:spacing w:before="40" w:after="40"/>
        <w:ind w:left="283"/>
      </w:pPr>
      <w:r>
        <w:rPr>
          <w:rFonts w:ascii="Calibri" w:hAnsi="Calibri"/>
          <w:b/>
          <w:color w:val="4A6B25"/>
          <w:sz w:val="20"/>
        </w:rPr>
        <w:t xml:space="preserve">2. </w:t>
      </w:r>
      <w:r>
        <w:rPr>
          <w:rFonts w:ascii="Calibri" w:hAnsi="Calibri"/>
          <w:b w:val="0"/>
          <w:color w:val="3A4A28"/>
          <w:sz w:val="20"/>
        </w:rPr>
        <w:t>INGREZZA sales guidance of $2.7-2.8B for 2026 (+10% growth) with expanded sales force contributions in H2</w:t>
      </w:r>
    </w:p>
    <w:p>
      <w:pPr>
        <w:spacing w:before="40" w:after="40"/>
        <w:ind w:left="283"/>
      </w:pPr>
      <w:r>
        <w:rPr>
          <w:rFonts w:ascii="Calibri" w:hAnsi="Calibri"/>
          <w:b/>
          <w:color w:val="4A6B25"/>
          <w:sz w:val="20"/>
        </w:rPr>
        <w:t xml:space="preserve">3. </w:t>
      </w:r>
      <w:r>
        <w:rPr>
          <w:rFonts w:ascii="Calibri" w:hAnsi="Calibri"/>
          <w:b w:val="0"/>
          <w:color w:val="3A4A28"/>
          <w:sz w:val="20"/>
        </w:rPr>
        <w:t>PEG ratio of 0.43 suggests significant multiple expansion opportunity as earnings growth accelerates toward forward EPS of $13.21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INGREZZA concentration risk (~90% of current revenue) with eventual generic competition threatening the franchise</w:t>
      </w:r>
    </w:p>
    <w:p>
      <w:pPr>
        <w:spacing w:before="40" w:after="40"/>
        <w:ind w:left="283"/>
      </w:pPr>
      <w:r>
        <w:rPr>
          <w:rFonts w:ascii="Calibri" w:hAnsi="Calibri"/>
          <w:b/>
          <w:color w:val="4A6B25"/>
          <w:sz w:val="20"/>
        </w:rPr>
        <w:t xml:space="preserve">2. </w:t>
      </w:r>
      <w:r>
        <w:rPr>
          <w:rFonts w:ascii="Calibri" w:hAnsi="Calibri"/>
          <w:b w:val="0"/>
          <w:color w:val="3A4A28"/>
          <w:sz w:val="20"/>
        </w:rPr>
        <w:t>CRENESSITY launch uncertainty in an early-stage rare disease market with limited visibility on peak sales potential</w:t>
      </w:r>
    </w:p>
    <w:p>
      <w:pPr>
        <w:spacing w:before="40" w:after="40"/>
        <w:ind w:left="283"/>
      </w:pPr>
      <w:r>
        <w:rPr>
          <w:rFonts w:ascii="Calibri" w:hAnsi="Calibri"/>
          <w:b/>
          <w:color w:val="4A6B25"/>
          <w:sz w:val="20"/>
        </w:rPr>
        <w:t xml:space="preserve">3. </w:t>
      </w:r>
      <w:r>
        <w:rPr>
          <w:rFonts w:ascii="Calibri" w:hAnsi="Calibri"/>
          <w:b w:val="0"/>
          <w:color w:val="3A4A28"/>
          <w:sz w:val="20"/>
        </w:rPr>
        <w:t>Regulatory risk across pipeline assets and potential pricing pressure from Medicare drug negotiation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Pharmaceutical companies face limited direct AI disruption risk — regulatory barriers, clinical trial requirements, and physician relationships create durable moats [5]. Neurocrine uses AI as an enabler through partnerships for drug discovery (identifying novel chemical scaffolds) rather than facing AI as a competitive threat. The company's focus on complex neurological mechanisms requires deep biological expertise that AI cannot easily replicate, though AI-native drug discovery firms represent longer-term competitive pressure in pipeline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Neurocrine Biosciences FY2025 Earnings Release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Neurocrine Biosciences Q4 2025 Earnings Call Highlights,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Neurocrine Biosciences Reviews (108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Needham Analyst Report — Bullish on NBIX Pipeline and 2026 Growth, April 2026</w:t>
      </w:r>
    </w:p>
    <w:p>
      <w:pPr>
        <w:spacing w:before="20" w:after="20"/>
        <w:ind w:left="170"/>
      </w:pPr>
      <w:r>
        <w:rPr>
          <w:rFonts w:ascii="Calibri" w:hAnsi="Calibri"/>
          <w:b/>
          <w:color w:val="4A6B25"/>
          <w:sz w:val="15"/>
        </w:rPr>
        <w:t xml:space="preserve">5. </w:t>
      </w:r>
      <w:r>
        <w:rPr>
          <w:rFonts w:ascii="Calibri" w:hAnsi="Calibri"/>
          <w:b w:val="0"/>
          <w:color w:val="3A4A28"/>
          <w:sz w:val="17"/>
        </w:rPr>
        <w:t>Neurocrine Biosciences R&amp;D Day Presentation, December 2025</w:t>
      </w:r>
    </w:p>
    <w:p>
      <w:pPr>
        <w:spacing w:before="20" w:after="20"/>
        <w:ind w:left="170"/>
      </w:pPr>
      <w:r>
        <w:rPr>
          <w:rFonts w:ascii="Calibri" w:hAnsi="Calibri"/>
          <w:b/>
          <w:color w:val="4A6B25"/>
          <w:sz w:val="15"/>
        </w:rPr>
        <w:t xml:space="preserve">6. </w:t>
      </w:r>
      <w:r>
        <w:rPr>
          <w:rFonts w:ascii="Calibri" w:hAnsi="Calibri"/>
          <w:b w:val="0"/>
          <w:color w:val="3A4A28"/>
          <w:sz w:val="17"/>
        </w:rPr>
        <w:t>Sustainalytics — Neurocrine Biosciences ESG Risk Rating, accessed May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NBIX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