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NCLH</w:t>
      </w:r>
      <w:r>
        <w:rPr>
          <w:rFonts w:ascii="Calibri" w:hAnsi="Calibri"/>
          <w:b/>
          <w:color w:val="1A2010"/>
          <w:sz w:val="40"/>
        </w:rPr>
        <w:t xml:space="preserve">  Norwegian Cruise Line Holdings Ltd.</w:t>
      </w:r>
    </w:p>
    <w:p>
      <w:pPr>
        <w:spacing w:after="120"/>
      </w:pPr>
      <w:r>
        <w:rPr>
          <w:rFonts w:ascii="Calibri" w:hAnsi="Calibri"/>
          <w:b/>
          <w:color w:val="6E8450"/>
          <w:sz w:val="18"/>
        </w:rPr>
        <w:t>GROWTH SLEEVE · 2026-03-24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Travel &amp; Leisure · NYSE · United States</w:t>
      </w:r>
    </w:p>
    <w:p>
      <w:pPr>
        <w:spacing w:after="80"/>
      </w:pPr>
      <w:r>
        <w:rPr>
          <w:rFonts w:ascii="Calibri" w:hAnsi="Calibri"/>
          <w:b w:val="0"/>
          <w:color w:val="3A4A28"/>
          <w:sz w:val="20"/>
        </w:rPr>
        <w:t>Norwegian Cruise Line Holdings operates three brands — Norwegian Cruise Line, Oceania Cruises, and Regent Seven Seas Cruises — serving the premium and luxury cruise segments with approximately 30 ships. Full-year 2025 revenue was $9.8B with Adjusted EBITDA of $2.73B, representing 11% growth. The company replaced CEO Harry Sommer with John Chidsey in February 2026 following an activist campaign by Elliott Investment Management.</w:t>
      </w:r>
    </w:p>
    <w:p>
      <w:r>
        <w:rPr>
          <w:rFonts w:ascii="Calibri" w:hAnsi="Calibri"/>
          <w:b/>
          <w:color w:val="6E8450"/>
          <w:sz w:val="18"/>
        </w:rPr>
        <w:t>39,000 Employees · https://www.nclhltd.com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NCLH's most notable recent innovation is the Great Stirrup Cay private island expansion, though the waterpark wasn't ready at opening — symptomatic of broader execution gaps [1]. The company is testing biofuel blends on over 20% of its fleet and ordered three new ships for 2036–2037 with green methanol capability [1]. However, a $95M IT asset write-off in 2025 signals technology underinvestment, and there is no evidence of meaningful AI deployment generating quantifiable results. NCLH lags peers Royal Caribbean and Carnival in technology-driven product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NCLH's 'Sail &amp; Sustain' program articulates five pillars including environmental impact reduction and community empowerment, reflecting genuine purpose beyond profit [2]. Incoming CEO John Chidsey was candid about 'execution gaps' and 'siloed culture' within weeks of joining — a refreshingly honest assessment that signals leadership accountability [1]. However, the sudden CEO replacement with no stated reason, Elliott's activist campaign for board changes, and a culture described as 'bureaucratic' by the new leadership suggest low organizational trust and a finite-game environment in transition.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NCLH carries $14.6B in total debt at a 5.3x net leverage ratio — among the highest in travel and hospitality [1]. Q4 2025 occupancy of 101.8% and full-year Adjusted EBITDA of $2.73B (+11%) show operational improvement, but the capital structure is deeply leveraged from pandemic-era financing. Profit margins remain compressed relative to the 20% IOWN threshold, and revenue growth YoY of 3.7% is well below the 10% target. Forward P/E is elevated for a company with this leverage profile. Liquidity floor check: stock price ~$19 × volume ~6M = &gt;$1M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NCLH has struggled to articulate a compelling Just Cause beyond competing with Royal Caribbean and Carnival for market share. The sudden CEO replacement after execution failures, Elliott's activist pressure for board changes, and new CEO Chidsey's description of a 'siloed' culture with poor coordination all paint a picture of an organization in reactive, finite-game mode. The multi-decade ship ordering provides some long-horizon capital allocation discipline.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NCLH does not have a distinctive Just Cause that transcends the cruise industry. Its purpose centers on delivering premium vacation experiences — a clear but not transformative articulation of why the company exists. The company's 'Sail &amp; Sustain' framework shows some purpose beyond profit, but it reads as sustainability reporting rather than lived strategy.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new CEO described a 'siloed culture' with poor cross-functional coordination within his first two weeks — this is as direct an indictment of organizational trust as possible [1]. Elliott Investment Management's public campaign for board changes and different leadership signals that even external stakeholders perceive a low-trust environment requiring structural intervention.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Chidsey's acknowledgment of a 10-percentage-point EBITDA margin gap vs. Royal Caribbean, and the stated priority of closing it, suggests NCLH is using rivals' strengths to identify its own weaknesses — an infinite mindset in competitive framing, even if the organization has struggled to execute.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order for three new ships with green methanol capability and the Regent/Oceania brand diversification show willingness to evolve the fleet and brand portfolio. However, these are incremental adaptations rather than transformative pivots — NCLH has not fundamentally reinvented its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failure to proactively address execution gaps before Elliott's intervention, and the opaque CEO replacement without stated rationale, suggest leadership avoided hard decisions. Chidsey's candor post-arrival is promising but represents acknowledging failure, not preemptive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NCLH's forward P/E of ~11x represents deep value relative to cruise peers — Royal Caribbean trades at 17x — and the Adjusted EBITDA target of $2.95B in 2026 with 37% margins represents continued profitability improvement [1]. CEO Chidsey brings a consumer brand turnaround track record (Subway, Burger King), and his diagnosis of 'execution and coordination' gaps rather than strategy failures suggests the core business is sound. Occupancy is improving to 105.7% expected in 2026, and the company has locked in three-year sub-inflationary cost growth [1].</w:t>
      </w:r>
    </w:p>
    <w:p>
      <w:pPr>
        <w:spacing w:after="120"/>
      </w:pPr>
      <w:r>
        <w:rPr>
          <w:rFonts w:ascii="Calibri" w:hAnsi="Calibri"/>
          <w:b w:val="0"/>
          <w:color w:val="3A4A28"/>
          <w:sz w:val="20"/>
        </w:rPr>
        <w:t>The structural bear case is the $14.6B debt load at 5.3x net leverage — nearly 1.5x higher than Royal Caribbean — that consumes cash flow and creates existential risk if another demand shock materializes [1]. The 2026 guidance miss (EPS guidance of $2.38 vs. analyst expectations) sent shares down 11% in one day, demonstrating execution credibility is fragile. Elliott's activist pressure may force management into short-term actions that compromise long-term strategy. Any Mediterranean or geopolitical disruption forcing itinerary changes hits higher-margin routes disproportionately, and the company has no financial cushion to absorb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Caribbean capacity 40% increase absorbed at 105.7% occupancy in 2026 would validate the turnaround thesis and drive EBITDA toward $3B+ — pivotal test of Chidsey's commercial coordination fix [1]</w:t>
      </w:r>
    </w:p>
    <w:p>
      <w:pPr>
        <w:spacing w:before="40" w:after="40"/>
        <w:ind w:left="283"/>
      </w:pPr>
      <w:r>
        <w:rPr>
          <w:rFonts w:ascii="Calibri" w:hAnsi="Calibri"/>
          <w:b/>
          <w:color w:val="4A6B25"/>
          <w:sz w:val="20"/>
        </w:rPr>
        <w:t xml:space="preserve">2. </w:t>
      </w:r>
      <w:r>
        <w:rPr>
          <w:rFonts w:ascii="Calibri" w:hAnsi="Calibri"/>
          <w:b w:val="0"/>
          <w:color w:val="3A4A28"/>
          <w:sz w:val="20"/>
        </w:rPr>
        <w:t>Debt reduction milestone: reaching 4.0x leverage would signal the balance sheet is healing and could enable a credit rating upgrade, reducing interest costs and expanding investor base</w:t>
      </w:r>
    </w:p>
    <w:p>
      <w:pPr>
        <w:spacing w:before="40" w:after="40"/>
        <w:ind w:left="283"/>
      </w:pPr>
      <w:r>
        <w:rPr>
          <w:rFonts w:ascii="Calibri" w:hAnsi="Calibri"/>
          <w:b/>
          <w:color w:val="4A6B25"/>
          <w:sz w:val="20"/>
        </w:rPr>
        <w:t xml:space="preserve">3. </w:t>
      </w:r>
      <w:r>
        <w:rPr>
          <w:rFonts w:ascii="Calibri" w:hAnsi="Calibri"/>
          <w:b w:val="0"/>
          <w:color w:val="3A4A28"/>
          <w:sz w:val="20"/>
        </w:rPr>
        <w:t>Regent Seven Seas and Oceania performance: luxury cruise demand has outperformed mass market post-pandemic — higher-margin premium brands represent the fastest path to margin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$14.6B debt at 5.3x net leverage creates refinancing risk if credit markets tighten or demand softens — an industry recession comparable to 2020 could be existential without rapid equity raises [1]</w:t>
      </w:r>
    </w:p>
    <w:p>
      <w:pPr>
        <w:spacing w:before="40" w:after="40"/>
        <w:ind w:left="283"/>
      </w:pPr>
      <w:r>
        <w:rPr>
          <w:rFonts w:ascii="Calibri" w:hAnsi="Calibri"/>
          <w:b/>
          <w:color w:val="4A6B25"/>
          <w:sz w:val="20"/>
        </w:rPr>
        <w:t xml:space="preserve">2. </w:t>
      </w:r>
      <w:r>
        <w:rPr>
          <w:rFonts w:ascii="Calibri" w:hAnsi="Calibri"/>
          <w:b w:val="0"/>
          <w:color w:val="3A4A28"/>
          <w:sz w:val="20"/>
        </w:rPr>
        <w:t>Elliott Investment Management's activism and board change demands may force costly short-term financial engineering (buybacks, asset sales) at the expense of the long-term deleveraging plan</w:t>
      </w:r>
    </w:p>
    <w:p>
      <w:pPr>
        <w:spacing w:before="40" w:after="40"/>
        <w:ind w:left="283"/>
      </w:pPr>
      <w:r>
        <w:rPr>
          <w:rFonts w:ascii="Calibri" w:hAnsi="Calibri"/>
          <w:b/>
          <w:color w:val="4A6B25"/>
          <w:sz w:val="20"/>
        </w:rPr>
        <w:t xml:space="preserve">3. </w:t>
      </w:r>
      <w:r>
        <w:rPr>
          <w:rFonts w:ascii="Calibri" w:hAnsi="Calibri"/>
          <w:b w:val="0"/>
          <w:color w:val="3A4A28"/>
          <w:sz w:val="20"/>
        </w:rPr>
        <w:t>New CEO execution risk: Chidsey's consumer brand background does not include complex asset-heavy capital allocation decisions — translating his diagnosis into operational and margin improvement in a 39,000-employee global operation is not guaranteed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Cruising is a physical-world, experiential business that AI fundamentally cannot replace — the demand for human travel experiences is immune to AI substitution [1]. AI does pose some disruption risk to back-office functions and pricing/revenue management systems, but NCLH is already deploying AI in those areas. The $95M IT write-off suggests the company is behind peers in technology deployment, slightly reducing this score from maximum. NCLH generates no meaningful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Norwegian Cruise Line Holdings Q4 and Full Year 2025 Financial Results, March 2, 2026</w:t>
      </w:r>
    </w:p>
    <w:p>
      <w:pPr>
        <w:spacing w:before="20" w:after="20"/>
        <w:ind w:left="170"/>
      </w:pPr>
      <w:r>
        <w:rPr>
          <w:rFonts w:ascii="Calibri" w:hAnsi="Calibri"/>
          <w:b/>
          <w:color w:val="4A6B25"/>
          <w:sz w:val="15"/>
        </w:rPr>
        <w:t xml:space="preserve">2. </w:t>
      </w:r>
      <w:r>
        <w:rPr>
          <w:rFonts w:ascii="Calibri" w:hAnsi="Calibri"/>
          <w:b w:val="0"/>
          <w:color w:val="3A4A28"/>
          <w:sz w:val="17"/>
        </w:rPr>
        <w:t>Norwegian Cruise Line Holdings Sail &amp; Sustain Sustainability Report, 2024</w:t>
      </w:r>
    </w:p>
    <w:p>
      <w:pPr>
        <w:spacing w:before="20" w:after="20"/>
        <w:ind w:left="170"/>
      </w:pPr>
      <w:r>
        <w:rPr>
          <w:rFonts w:ascii="Calibri" w:hAnsi="Calibri"/>
          <w:b/>
          <w:color w:val="4A6B25"/>
          <w:sz w:val="15"/>
        </w:rPr>
        <w:t xml:space="preserve">3. </w:t>
      </w:r>
      <w:r>
        <w:rPr>
          <w:rFonts w:ascii="Calibri" w:hAnsi="Calibri"/>
          <w:b w:val="0"/>
          <w:color w:val="3A4A28"/>
          <w:sz w:val="17"/>
        </w:rPr>
        <w:t>TravelWeekly — Norwegian New CEO Addresses Company Shortcomings,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