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NCL</w:t>
      </w:r>
      <w:r>
        <w:rPr>
          <w:rFonts w:ascii="Calibri" w:hAnsi="Calibri"/>
          <w:b/>
          <w:color w:val="1A2010"/>
          <w:sz w:val="40"/>
        </w:rPr>
        <w:t xml:space="preserve">  Norwegian Cruise Line Holdings Ltd.</w:t>
      </w:r>
    </w:p>
    <w:p>
      <w:pPr>
        <w:spacing w:after="120"/>
      </w:pPr>
      <w:r>
        <w:rPr>
          <w:rFonts w:ascii="Calibri" w:hAnsi="Calibri"/>
          <w:b/>
          <w:color w:val="6E8450"/>
          <w:sz w:val="18"/>
        </w:rPr>
        <w:t>GROWTH SLEEVE · 2026-03-24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Hotels, Resorts &amp; Cruise Lines · NYSE · United States</w:t>
      </w:r>
    </w:p>
    <w:p>
      <w:pPr>
        <w:spacing w:after="80"/>
      </w:pPr>
      <w:r>
        <w:rPr>
          <w:rFonts w:ascii="Calibri" w:hAnsi="Calibri"/>
          <w:b w:val="0"/>
          <w:color w:val="3A4A28"/>
          <w:sz w:val="20"/>
        </w:rPr>
        <w:t>Norwegian Cruise Line Holdings operates three premium cruise brands — Norwegian Cruise Line, Oceania Cruises, and Regent Seven Seas Cruises — with approximately 32 ships across all brands. The company generated $9.8B in full-year 2025 revenue with $2.73B adjusted EBITDA, and appointed a new CEO (John W. Chidsey) in February 2026. 2026 guidance calls for approximately $2.95B adjusted EBITDA with 105.7% occupancy and adjusted EPS of $2.38.</w:t>
      </w:r>
    </w:p>
    <w:p>
      <w:r>
        <w:rPr>
          <w:rFonts w:ascii="Calibri" w:hAnsi="Calibri"/>
          <w:b/>
          <w:color w:val="6E8450"/>
          <w:sz w:val="18"/>
        </w:rPr>
        <w:t>35,000 Employees · https://www.nclhltd.com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Norwegian earns 1/3 on Innovation Track Record: the company expanded its brand portfolio and vessel lineup, including the launch of Norwegian Aqua in 2025 and ordering three new ships for 2036-2037 delivery — incremental fleet expansion rather than transformative business model innovation [1]. AI Deployment scores 1/2: the company has deployed AI-powered revenue management and dynamic pricing systems, and uses data analytics to optimize occupancy — specific savings not quantified but operationally embedded. Market Share scores 1/2: Norwegian holds the third-largest global cruise market position behind Carnival and Royal Caribbean with meaningful market share. Pipeline scores 1/2: three new ships ordered for 2036-2037 delivery with specific timelines [1]. R&amp;D scores 0/1: cruise companies are not R&amp;D-intensive businesses. Total: 1+1+1+1+0 =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Norwegian's mission — delivering exceptional travel experiences across three brands from affordable to ultra-luxury — is clear and customer-focused. Mission floor scores 2/4. Community impact scores 1/2: the company has Sail &amp; Sustain ESG programs focused on environmental and community initiatives, but no distinctive major charitable programs. Employee retention scores 1/2: cruise line employees typically have industry-average retention; Norwegian's three-brand diversity provides career advancement opportunities. Insider buying scores 0/2: no evidence of meaningful recent insider buying; new CEO appointment in February 2026 creates a management transition dynamic [1]. Total: 2+1+1+0 =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NCLH is a prospect/growth stock. Rev $9.8B FY2025 (+3.7% YoY): rev growth YoY (3.7-(-20))/(10-(-20))=0.79; Rev 5yr CAGR ~8% (recovery from COVID): (8-(-5))/(10-(-5))=0.867 ×2; D/E: net leverage 5.2× at year-end implies very high absolute debt; estimated D/E ~500%+ → score 0.0; ROE: GAAP net income $423M on equity base — estimated ROE ~8%: (8-0)/(15-0)=0.533 ×2; Fwd PE: at $18 stock price and $2.38 EPS guidance = Fwd PE 7.6: 1.0; Profit margin GAAP ~4.3%: (4.3-0)/(20-0)=0.215; PEG: Fwd PE 7.6 / EPS growth ~15%: PEG 0.51: 1.0 ×2. Weighted sum: D/E(1×0)+ROE(2×0.533)+RevYoY(1×0.79)+Rev5yr(2×0.867)+FwdPE(1×1.0)+Margin(1×0.215)+PEG(2×1.0)=0+1.066+0.79+1.734+1.0+0.215+2.0=6.805/10=0.68 → score 7. Discount to 4 given massive $10B+ debt load and 5.2× net leverage creating significant financial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Norwegian's appointment of a new CEO in February 2026 after commercial execution missteps — mis-aligning Caribbean capacity with pricing strategy — reflects finite-game management pressure rather than infinite-game stability. The company's three-brand portfolio strategy is sensible, but 5.2× net leverage creates existential financial constraints that limit long-term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Norwegian's purpose — creating exceptional, differentiated cruise experiences across three brand tiers — is specific to its business but not a transformative Just Cause in Sinek's terms [1]. Scores 1/3: a clear cause that shapes brand strategy but lacks the inspiring idealism of truly infinite companies.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CEO change in February 2026 reflects operational missteps in commercial strategy alignment, creating organizational uncertainty [1]. However, the broader leadership team across three brands has maintained operational excellence (103.5% occupancy, 11% adjusted EBITDA growth). Scores 1/2.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Norwegian acknowledges Royal Caribbean and Carnival as worthy rivals and frames its premium multi-brand positioning as differentiation rather than pure competitive destruction [1]. Evidence of learning from rivals in occupancy and yield management benchmarking. Scores 1/1.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Norwegian has not demonstrated transformative flexibility — the company's three-brand luxury positioning strategy has been consistent for many years, with fleet expansion as the primary growth lever [1]. The COVID pandemic forced adaptation rather than proactive strategic flexibility. Scores 0/2.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Ordering three new ships for 2036-2037 during a period of elevated debt and market uncertainty demonstrates long-term investment conviction [1]. One instance of long-term capital commitment. Scores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Norwegian trades at an attractive forward P/E of 7.6× against $2.38 guidance EPS, with $2.95B adjusted EBITDA guidance and 105.7% occupancy expected in 2026 [1]. The three-brand portfolio spanning budget to ultra-luxury provides revenue diversification, and the wave season booking trends into 2026 remain constructive. Sub-inflationary unit cost performance for the third consecutive year demonstrates operational discipline. The new CEO appointment brings fresh consumer brand perspective to fix the Q1 2026 Caribbean yield execution issue.</w:t>
      </w:r>
    </w:p>
    <w:p>
      <w:pPr>
        <w:spacing w:after="120"/>
      </w:pPr>
      <w:r>
        <w:rPr>
          <w:rFonts w:ascii="Calibri" w:hAnsi="Calibri"/>
          <w:b w:val="0"/>
          <w:color w:val="3A4A28"/>
          <w:sz w:val="20"/>
        </w:rPr>
        <w:t>Norwegian carries $10B+ in net debt at 5.2× net leverage — the most significant risk in the investment case [1]. A material economic slowdown, fuel price spike, or public health event (another COVID-scale disruption) would create acute refinancing pressure given the leverage profile. Q1 2026 yield guidance of -1.6% reflects near-term execution issues from a 40% capacity increase in the Caribbean without aligned commercial strategy. The interest expense drag on earnings is substantial, and the company has no dividend, making the entire return dependent on multiple expansion and EPS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John Chidsey fixing the commercial-capacity misalignment: improved Q2-Q4 2026 yields above flat guidance would signal execution recovery</w:t>
      </w:r>
    </w:p>
    <w:p>
      <w:pPr>
        <w:spacing w:before="40" w:after="40"/>
        <w:ind w:left="283"/>
      </w:pPr>
      <w:r>
        <w:rPr>
          <w:rFonts w:ascii="Calibri" w:hAnsi="Calibri"/>
          <w:b/>
          <w:color w:val="4A6B25"/>
          <w:sz w:val="20"/>
        </w:rPr>
        <w:t xml:space="preserve">2. </w:t>
      </w:r>
      <w:r>
        <w:rPr>
          <w:rFonts w:ascii="Calibri" w:hAnsi="Calibri"/>
          <w:b w:val="0"/>
          <w:color w:val="3A4A28"/>
          <w:sz w:val="20"/>
        </w:rPr>
        <w:t>Great Stirrup Cay private island amenities opening — delayed amenities suppressed Q1 yields; full opening in Q2 2026 would catalyze occupancy premium</w:t>
      </w:r>
    </w:p>
    <w:p>
      <w:pPr>
        <w:spacing w:before="40" w:after="40"/>
        <w:ind w:left="283"/>
      </w:pPr>
      <w:r>
        <w:rPr>
          <w:rFonts w:ascii="Calibri" w:hAnsi="Calibri"/>
          <w:b/>
          <w:color w:val="4A6B25"/>
          <w:sz w:val="20"/>
        </w:rPr>
        <w:t xml:space="preserve">3. </w:t>
      </w:r>
      <w:r>
        <w:rPr>
          <w:rFonts w:ascii="Calibri" w:hAnsi="Calibri"/>
          <w:b w:val="0"/>
          <w:color w:val="3A4A28"/>
          <w:sz w:val="20"/>
        </w:rPr>
        <w:t>Leverage reduction toward 4× net debt target — debt paydown would re-rate the equity at a higher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5.2× net leverage creates acute financial risk in a recession or demand shock scenario; debt maturities need careful monitoring</w:t>
      </w:r>
    </w:p>
    <w:p>
      <w:pPr>
        <w:spacing w:before="40" w:after="40"/>
        <w:ind w:left="283"/>
      </w:pPr>
      <w:r>
        <w:rPr>
          <w:rFonts w:ascii="Calibri" w:hAnsi="Calibri"/>
          <w:b/>
          <w:color w:val="4A6B25"/>
          <w:sz w:val="20"/>
        </w:rPr>
        <w:t xml:space="preserve">2. </w:t>
      </w:r>
      <w:r>
        <w:rPr>
          <w:rFonts w:ascii="Calibri" w:hAnsi="Calibri"/>
          <w:b w:val="0"/>
          <w:color w:val="3A4A28"/>
          <w:sz w:val="20"/>
        </w:rPr>
        <w:t>Q1 2026 yield decline of -1.6% reflects execution missteps in Caribbean pricing; if these persist through the year, full-year EBITDA guidance would be at risk</w:t>
      </w:r>
    </w:p>
    <w:p>
      <w:pPr>
        <w:spacing w:before="40" w:after="40"/>
        <w:ind w:left="283"/>
      </w:pPr>
      <w:r>
        <w:rPr>
          <w:rFonts w:ascii="Calibri" w:hAnsi="Calibri"/>
          <w:b/>
          <w:color w:val="4A6B25"/>
          <w:sz w:val="20"/>
        </w:rPr>
        <w:t xml:space="preserve">3. </w:t>
      </w:r>
      <w:r>
        <w:rPr>
          <w:rFonts w:ascii="Calibri" w:hAnsi="Calibri"/>
          <w:b w:val="0"/>
          <w:color w:val="3A4A28"/>
          <w:sz w:val="20"/>
        </w:rPr>
        <w:t>Macro consumer spending slowdown: cruise demand is discretionary, and high-income consumer confidence could deteriorate faster than anticipated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Norwegian's core business — physical cruise ship operations, hospitality, and travel experiences — cannot be replaced by AI [1]. The onboard experience, port destinations, and personal service are inherently physical-world activities. AI can optimize pricing, routing, and crew scheduling, but cannot substitute for the cruise vacation itself. The company earns 7/9 on AI Risk Protection (immune core physical business) with some peripheral risk from AI-enhanced alternative travel booking platforms. AI Opportunity scores 0/1: no specific AI revenue quantified. Total: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Norwegian Cruise Line Holdings Q4 2025 Financial Results, GlobeNewsWire, March 2, 2026</w:t>
      </w:r>
    </w:p>
    <w:p>
      <w:pPr>
        <w:spacing w:before="20" w:after="20"/>
        <w:ind w:left="170"/>
      </w:pPr>
      <w:r>
        <w:rPr>
          <w:rFonts w:ascii="Calibri" w:hAnsi="Calibri"/>
          <w:b/>
          <w:color w:val="4A6B25"/>
          <w:sz w:val="15"/>
        </w:rPr>
        <w:t xml:space="preserve">2. </w:t>
      </w:r>
      <w:r>
        <w:rPr>
          <w:rFonts w:ascii="Calibri" w:hAnsi="Calibri"/>
          <w:b w:val="0"/>
          <w:color w:val="3A4A28"/>
          <w:sz w:val="17"/>
        </w:rPr>
        <w:t>NCLH Q4 2025 Press Release, nclhltd.com, March 2, 2026</w:t>
      </w:r>
    </w:p>
    <w:p>
      <w:pPr>
        <w:spacing w:before="20" w:after="20"/>
        <w:ind w:left="170"/>
      </w:pPr>
      <w:r>
        <w:rPr>
          <w:rFonts w:ascii="Calibri" w:hAnsi="Calibri"/>
          <w:b/>
          <w:color w:val="4A6B25"/>
          <w:sz w:val="15"/>
        </w:rPr>
        <w:t xml:space="preserve">3. </w:t>
      </w:r>
      <w:r>
        <w:rPr>
          <w:rFonts w:ascii="Calibri" w:hAnsi="Calibri"/>
          <w:b w:val="0"/>
          <w:color w:val="3A4A28"/>
          <w:sz w:val="17"/>
        </w:rPr>
        <w:t>StockTitan, 'Norwegian Cruise Line 2025 earnings, 2026 EPS view', March 2026</w:t>
      </w:r>
    </w:p>
    <w:p>
      <w:pPr>
        <w:spacing w:before="20" w:after="20"/>
        <w:ind w:left="170"/>
      </w:pPr>
      <w:r>
        <w:rPr>
          <w:rFonts w:ascii="Calibri" w:hAnsi="Calibri"/>
          <w:b/>
          <w:color w:val="4A6B25"/>
          <w:sz w:val="15"/>
        </w:rPr>
        <w:t xml:space="preserve">4. </w:t>
      </w:r>
      <w:r>
        <w:rPr>
          <w:rFonts w:ascii="Calibri" w:hAnsi="Calibri"/>
          <w:b w:val="0"/>
          <w:color w:val="3A4A28"/>
          <w:sz w:val="17"/>
        </w:rPr>
        <w:t>Cruise Industry News, 'Norwegian Cruise Line Holdings Reports Q4 and Full Year 2025 Financial Results',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