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NDAQ</w:t>
      </w:r>
      <w:r>
        <w:rPr>
          <w:rFonts w:ascii="Calibri" w:hAnsi="Calibri"/>
          <w:b/>
          <w:color w:val="1A2010"/>
          <w:sz w:val="40"/>
        </w:rPr>
        <w:t xml:space="preserve">  Nasdaq, Inc.</w:t>
      </w:r>
    </w:p>
    <w:p>
      <w:pPr>
        <w:spacing w:after="120"/>
      </w:pPr>
      <w:r>
        <w:rPr>
          <w:rFonts w:ascii="Calibri" w:hAnsi="Calibri"/>
          <w:b/>
          <w:color w:val="6E8450"/>
          <w:sz w:val="18"/>
        </w:rPr>
        <w:t>GROWTH SLEEVE · 2026-04-01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Stock Exchanges · NASDAQ · United States</w:t>
      </w:r>
    </w:p>
    <w:p>
      <w:pPr>
        <w:spacing w:after="80"/>
      </w:pPr>
      <w:r>
        <w:rPr>
          <w:rFonts w:ascii="Calibri" w:hAnsi="Calibri"/>
          <w:b w:val="0"/>
          <w:color w:val="3A4A28"/>
          <w:sz w:val="20"/>
        </w:rPr>
        <w:t>Nasdaq operates as a global technology company serving capital markets across three segments: Capital Access Platforms, Financial Technology, and Market Services. Its technology powers 97% of global systemically important banks, half of the world's top 25 stock exchanges, 35 central banks, and 3,800+ financial services clients worldwide.</w:t>
      </w:r>
    </w:p>
    <w:p>
      <w:r>
        <w:rPr>
          <w:rFonts w:ascii="Calibri" w:hAnsi="Calibri"/>
          <w:b/>
          <w:color w:val="6E8450"/>
          <w:sz w:val="18"/>
        </w:rPr>
        <w:t>9,525 Employees · https://www.nasdaq.com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Adenza acquisition (Calypso + AxiomSL) in 2023 was transformative, adding risk management and regulatory reporting to Nasdaq's platform — 42 successful cross-sells completed through year-end 2025 [1]. Solutions revenue surpassed $1B quarterly for the first time in Q3 2025, validating the pivot from exchange operator to financial technology platform [1]. AI Deployment (2/2): Nasdaq Verafin launched an Agentic AI Workforce — a suite of digital workers for anti-money laundering programs — and embedded AI into its surveillance platform to reduce false positives with predictive analytics [2]. Calypso now integrates machine learning for portfolio risk calculations and predictive analytics [2]. Market Share (2/2): Nasdaq technology powers 97% of global systemically important banks and half of the world's top 25 exchanges, representing dominant infrastructure positioning in capital markets technology [2]. Pipeline (1/2): On-chain collateral management proof of concept with Nasdaq Calypso targeting Q1/Q2 2026 launch; $100M cross-sell run-rate revenue target by year-end 2027 [1]. R&amp;D Intensity (0/1): R&amp;D spending is not disclosed separately; technology investment is embedded in operating expenses without clear above-peer intensity data.</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Nasdaq's stated purpose is to 'advance inclusive growth and prosperity to power stronger economies' — clear and specific to capital markets but not transformative or validated by decades of consistent execution beyond exchange operations [3]. Community Impact (1/2): Nasdaq provides corporate sustainability solutions including the AI-powered Sustainable Lens platform and maintains ESG index products; the board diversity rule (now vacated) showed willingness to drive social change in corporate governance [3]. Employee Retention (1/2): Glassdoor rating of 3.9/5 with 76% recommending to a friend; employees cite strong leadership and collaborative environment, though concerns about compensation stagnation and under-resourcing suggest average retention [2]. Insider Buying (2/2): CEO Adena Friedman has significant equity exposure with $21.5M total compensation (94.2% equity-based), and her 9-year tenure demonstrates long-term alignment with shareholders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Nasdaq's financial profile is exceptional across all core metrics. D/E of 77.9% reflects manageable leverage post-Adenza acquisition with $9.5B total debt offset by strong cash generation ($2.26B operating cash flow, $1.67B FCF) [4]. ROE of 15.3% meets target, profit margin of 34.1% is well above the 20% threshold, and revenue growth of 13.4% YoY exceeds the 10% target [1][4]. Forward P/E of 19.3x is below the 20x target, reflecting reasonable valuation for a high-quality financial infrastructure business. Revenue growth 5yr CAGR of approximately 12% (driven by organic growth plus Adenza contribution) exceeds target. All metrics score at or above target, producing a perfect mechanical infrastructure score. Liquidity floor easily cleared: 4.47M avg daily volume × $84.89 = $379M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Nasdaq under Adena Friedman has demonstrated genuine strategic vision in transforming from a pure exchange operator to a financial technology platform company. The Adenza acquisition was a bold, long-term bet that is paying off. However, the company's competitive language often centers on market share and revenue targets rather than a deeper purpose, keeping it in mixed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Nasdaq's cause of 'advancing inclusive growth and prosperity to power stronger economies' is genuine and connects capital markets technology to a broader social purpose [3]. Friedman's 9-year transformation of the company from exchange operator to technology platform shows strategic consistency. However, the cause hasn't been tested through existential crisis, and the language still centers heavily on financial metrics rather than mission.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indicate a generally positive culture with 76% recommending the company, strong leadership visibility, and collaborative environment across 38 countries [2]. However, concerns about compensation stagnation, under-resourcing, and lack of diversity at senior levels suggest adequate but not exceptional trust. Friedman's long tenure provides leadership stability.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Nasdaq acknowledges competitors like ICE/NYSE and LSEG as forces that push innovation; the Adenza acquisition was partly a response to competitors building integrated technology platforms [1]. The company frames competitive dynamics as motivation to expand capabilities rather than destroy rivals.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Adenza acquisition in 2023 represented meaningful strategic evolution from exchange operator to integrated financial technology platform, but this was incremental expansion into adjacent markets rather than transformative reinvention [1]. Nasdaq has evolved through technology (electronic trading pioneer in 1971, adding clearing, adding fintech) but never fundamentally abandoned a core business.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$10.5B Adenza acquisition was a courageous bet that temporarily increased leverage and was questioned by some analysts, but is now validated by 42 cross-sells and Solutions revenue exceeding $1B quarterly [1]. The board diversity rule push (before it was vacated) showed willingness to take a principled stand. However, compensation practices suggest some prioritization of short-term margins over employee investment.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Nasdaq has successfully transformed from a pure exchange operator into a diversified financial technology platform, with Solutions revenue surpassing $1B quarterly and the Adenza acquisition generating 42 cross-sells through year-end 2025 [1]. At its February 2026 Investor Day, management raised medium-term Solutions revenue growth guidance to 9-12% (from 8-11%), driven by elevated Capital Access Platforms outlook of 6-10% [1]. Q4 FY2025 revenue of $1.39B, operating income growth of 16% YoY, and EPS growth of 47.6% demonstrate strong execution. At 19.3x forward P/E with 13.4% revenue growth, 34% profit margins, and $1.67B FCF, Nasdaq offers compelling value for a dominant financial infrastructure franchise with analyst consensus of 'Strong Buy' and average price target of $109.57 [4].</w:t>
      </w:r>
    </w:p>
    <w:p>
      <w:pPr>
        <w:spacing w:after="120"/>
      </w:pPr>
      <w:r>
        <w:rPr>
          <w:rFonts w:ascii="Calibri" w:hAnsi="Calibri"/>
          <w:b w:val="0"/>
          <w:color w:val="3A4A28"/>
          <w:sz w:val="20"/>
        </w:rPr>
        <w:t>The bear case centers on integration risk and competitive pressure. The Adenza acquisition added $9.5B in total debt, and while leverage is manageable with $2.26B operating cash flow, any slowdown in cross-sell momentum could pressure returns on the investment [1]. The Financial Technology segment faces growing competition from AI-native fintechs that could offer lower-cost compliance, surveillance, and risk management solutions [2]. Market Services revenue is exposed to trading volume cyclicality — a prolonged low-volatility environment would compress this segment. The board diversity rule controversy and subsequent court vacatur created reputational complexity, and the shifting ESG regulatory landscape could impact Nasdaq's sustainability solutions business [3]. At $48.5B market cap, the stock needs sustained double-digit earnings growth to justify current multiples, and any deceleration in the 9-12% Solutions growth trajectory would pressure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Adenza cross-sell acceleration toward $100M run-rate revenue target by year-end 2027, with 42 completed cross-sells already demonstrating strong integration traction [1]</w:t>
      </w:r>
    </w:p>
    <w:p>
      <w:pPr>
        <w:spacing w:before="40" w:after="40"/>
        <w:ind w:left="283"/>
      </w:pPr>
      <w:r>
        <w:rPr>
          <w:rFonts w:ascii="Calibri" w:hAnsi="Calibri"/>
          <w:b/>
          <w:color w:val="4A6B25"/>
          <w:sz w:val="20"/>
        </w:rPr>
        <w:t xml:space="preserve">2. </w:t>
      </w:r>
      <w:r>
        <w:rPr>
          <w:rFonts w:ascii="Calibri" w:hAnsi="Calibri"/>
          <w:b w:val="0"/>
          <w:color w:val="3A4A28"/>
          <w:sz w:val="20"/>
        </w:rPr>
        <w:t>AI-powered product expansion including Verafin Agentic AI Workforce and Calypso ML risk analytics, creating new revenue streams across 3,800+ financial institution clients [2]</w:t>
      </w:r>
    </w:p>
    <w:p>
      <w:pPr>
        <w:spacing w:before="40" w:after="40"/>
        <w:ind w:left="283"/>
      </w:pPr>
      <w:r>
        <w:rPr>
          <w:rFonts w:ascii="Calibri" w:hAnsi="Calibri"/>
          <w:b/>
          <w:color w:val="4A6B25"/>
          <w:sz w:val="20"/>
        </w:rPr>
        <w:t xml:space="preserve">3. </w:t>
      </w:r>
      <w:r>
        <w:rPr>
          <w:rFonts w:ascii="Calibri" w:hAnsi="Calibri"/>
          <w:b w:val="0"/>
          <w:color w:val="3A4A28"/>
          <w:sz w:val="20"/>
        </w:rPr>
        <w:t>Raised medium-term Solutions revenue growth guidance to 9-12%, with elevated Capital Access Platforms outlook supporting margin expansion and operating leverage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Post-acquisition leverage of $9.5B total debt requires sustained cross-sell execution; any slowdown in Adenza integration would pressure return on invested capital and debt servicing capacity [1]</w:t>
      </w:r>
    </w:p>
    <w:p>
      <w:pPr>
        <w:spacing w:before="40" w:after="40"/>
        <w:ind w:left="283"/>
      </w:pPr>
      <w:r>
        <w:rPr>
          <w:rFonts w:ascii="Calibri" w:hAnsi="Calibri"/>
          <w:b/>
          <w:color w:val="4A6B25"/>
          <w:sz w:val="20"/>
        </w:rPr>
        <w:t xml:space="preserve">2. </w:t>
      </w:r>
      <w:r>
        <w:rPr>
          <w:rFonts w:ascii="Calibri" w:hAnsi="Calibri"/>
          <w:b w:val="0"/>
          <w:color w:val="3A4A28"/>
          <w:sz w:val="20"/>
        </w:rPr>
        <w:t>AI-native fintech competitors could disrupt Nasdaq's Financial Technology segment with lower-cost compliance and risk management solutions, compressing margins in surveillance and regulatory reporting [2]</w:t>
      </w:r>
    </w:p>
    <w:p>
      <w:pPr>
        <w:spacing w:before="40" w:after="40"/>
        <w:ind w:left="283"/>
      </w:pPr>
      <w:r>
        <w:rPr>
          <w:rFonts w:ascii="Calibri" w:hAnsi="Calibri"/>
          <w:b/>
          <w:color w:val="4A6B25"/>
          <w:sz w:val="20"/>
        </w:rPr>
        <w:t xml:space="preserve">3. </w:t>
      </w:r>
      <w:r>
        <w:rPr>
          <w:rFonts w:ascii="Calibri" w:hAnsi="Calibri"/>
          <w:b w:val="0"/>
          <w:color w:val="3A4A28"/>
          <w:sz w:val="20"/>
        </w:rPr>
        <w:t>Market Services revenue cyclicality — trading volumes are sensitive to market volatility, and a sustained low-volatility environment would compress Nasdaq's most mature revenue stream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Nasdaq's core business — operating exchanges, clearing, settlement, and market data — is deeply regulated financial infrastructure that AI cannot displace [2]. Switching costs are enormous (97% of global SIBs use Nasdaq technology), and regulatory requirements create structural barriers. However, Nasdaq's Financial Technology segment faces moderate exposure as AI-native fintech startups could compete in surveillance, risk management, and regulatory reporting with lower-cost AI-first solutions. The broader trend of AI automating compliance workflows is a double-edged sword — Nasdaq is deploying AI (Verafin Agentic AI, surveillance AI) but so are competitors [2]. AI Opportunity (1/1): Nasdaq generates meaningful AI revenue through Verafin's AI-powered anti-money laundering platform, AI-enhanced surveillance products, and the new machine learning risk analytics integrated into Calypso, serving 3,800+ financial institution clients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Nasdaq Inc. Q4 FY2025 Earnings and February 2026 Investor Day — raised Solutions revenue guidance to 9-12%, 42 Adenza cross-sells, Solutions revenue exceeding $1B quarterly</w:t>
      </w:r>
    </w:p>
    <w:p>
      <w:pPr>
        <w:spacing w:before="20" w:after="20"/>
        <w:ind w:left="170"/>
      </w:pPr>
      <w:r>
        <w:rPr>
          <w:rFonts w:ascii="Calibri" w:hAnsi="Calibri"/>
          <w:b/>
          <w:color w:val="4A6B25"/>
          <w:sz w:val="15"/>
        </w:rPr>
        <w:t xml:space="preserve">2. </w:t>
      </w:r>
      <w:r>
        <w:rPr>
          <w:rFonts w:ascii="Calibri" w:hAnsi="Calibri"/>
          <w:b w:val="0"/>
          <w:color w:val="3A4A28"/>
          <w:sz w:val="17"/>
        </w:rPr>
        <w:t>Nasdaq AI Innovation — Verafin Agentic AI Workforce, Calypso ML risk analytics, AI surveillance platform enhancements, and Glassdoor reviews (3.9/5, 76% recommend)</w:t>
      </w:r>
    </w:p>
    <w:p>
      <w:pPr>
        <w:spacing w:before="20" w:after="20"/>
        <w:ind w:left="170"/>
      </w:pPr>
      <w:r>
        <w:rPr>
          <w:rFonts w:ascii="Calibri" w:hAnsi="Calibri"/>
          <w:b/>
          <w:color w:val="4A6B25"/>
          <w:sz w:val="15"/>
        </w:rPr>
        <w:t xml:space="preserve">3. </w:t>
      </w:r>
      <w:r>
        <w:rPr>
          <w:rFonts w:ascii="Calibri" w:hAnsi="Calibri"/>
          <w:b w:val="0"/>
          <w:color w:val="3A4A28"/>
          <w:sz w:val="17"/>
        </w:rPr>
        <w:t>Nasdaq ESG and Governance — board diversity rule vacatur, Sustainable Lens AI platform, sustainability initiatives and corporate purpose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NDAQ (Nasdaq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