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NEM</w:t>
      </w:r>
      <w:r>
        <w:rPr>
          <w:rFonts w:ascii="Calibri" w:hAnsi="Calibri"/>
          <w:b/>
          <w:color w:val="1A2010"/>
          <w:sz w:val="40"/>
        </w:rPr>
        <w:t xml:space="preserve">  Newmont Corporation</w:t>
      </w:r>
    </w:p>
    <w:p>
      <w:pPr>
        <w:spacing w:after="120"/>
      </w:pPr>
      <w:r>
        <w:rPr>
          <w:rFonts w:ascii="Calibri" w:hAnsi="Calibri"/>
          <w:b/>
          <w:color w:val="6E8450"/>
          <w:sz w:val="18"/>
        </w:rPr>
        <w:t>GROWTH SLEEVE · 2026-03-27 · Inspire: 52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United States</w:t>
      </w:r>
    </w:p>
    <w:p>
      <w:pPr>
        <w:spacing w:after="80"/>
      </w:pPr>
      <w:r>
        <w:rPr>
          <w:rFonts w:ascii="Calibri" w:hAnsi="Calibri"/>
          <w:b w:val="0"/>
          <w:color w:val="3A4A28"/>
          <w:sz w:val="20"/>
        </w:rPr>
        <w:t>Newmont Corporation is the world's leading gold producer with operations and assets across the United States, Papua New Guinea, Australia, Ghana, Peru, Canada, Argentina, and Mexico. The company produced 5.7 million ounces of gold in 2025 and generated record free cash flow of $7.3 billion while completing a $4.5 billion divestiture program to focus on its 12 most productive managed operations.</w:t>
      </w:r>
    </w:p>
    <w:p>
      <w:r>
        <w:rPr>
          <w:rFonts w:ascii="Calibri" w:hAnsi="Calibri"/>
          <w:b/>
          <w:color w:val="6E8450"/>
          <w:sz w:val="18"/>
        </w:rPr>
        <w:t>17,500 Employees · https://www.newmont.com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Newmont delivered an exceptional 2025 with record $7.3B free cash flow and $7.2B net income while maintaining industry-leading AISC of $1,358/oz across its streamlined 12-mine portfolio [1]. The $4.5B divestiture program completed by early 2026 demonstrates strategic portfolio optimization — selling high-cost mines to concentrate capital on the most productive assets. The Ahafo North ramp-up, Boddington stripping campaign, and Tanami Expansion 2 represent disciplined growth investments. Average realized gold prices of $3,498/oz versus $1,358 AISC show extraordinary margin capture during the gold bull market.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Newmont's commitment to shareholder returns is exceptional — $3.4B returned in 2025 via dividends and buybacks, with a $6B share buyback program and 4% quarterly dividend increase announced [1]. The company's global operations in 8+ countries require community engagement and social license across diverse cultural contexts. Newmont has historically been an industry leader in responsible mining practices and ESG transparency. However, the Barrick Gold dispute over Nevada Gold Mines JV resource diversion introduces governance tension.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Newmont's financial profile is outstanding: $22.67B revenue (+21% YoY), 31.3% profit margin, 22.3% ROE, and D/E of only 16.7% [4]. Forward P/E of 8.9 is exceptionally attractive for a gold major generating $7.3B FCF. The company reduced debt by $3.4B and ended 2025 in a net cash position [1]. Dividend yield of 1.05% with a 15.7% payout ratio is ultra-conservative, leaving massive capacity for buybacks (the $6B authorization). Revenue growth of 20.6% YoY demonstrates gold price leverage operating efficiently.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Newmont demonstrates strong infinite game characteristics through its century-long operating history, disciplined portfolio optimization focused on long-life assets, and commitment to responsible mining practices across diverse global operations. The 'trough year' production guidance for 2026 designed to set up 2027-2028 growth shows willingness to sacrifice near-term metrics for long-term positioning.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Newmont's purpose connects to providing essential materials for human progress while maintaining responsible mining practices across diverse communities globally [1]. The company's willingness to designate 2026 as a 'work year' — accepting lower production to reinvest in pits — demonstrates cause-driven patience over quarterly optimization. The $1.1B annual sustainable dividend commitment shows reliability as a core value.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Newmont's ability to complete the $4.5B divestiture program while maintaining operational excellence across 12 managed operations in 8+ countries requires deep organizational trust [1]. The company's 17,500 employees operate in challenging environments from underground mines to remote locations, requiring exceptional safety culture and team cohesion. AISC of $1,358/oz reflects coordinated cost discipline across a global organization.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Newmont competes against Barrick Gold, Agnico Eagle, and other gold majors. The Nevada Gold Mines JV dispute with Barrick — where Newmont issued a formal notice of default alleging resource diversion to Barrick's Fourmile project — shows willingness to protect shareholder interests [1]. This is competitive vigilance, but the public dispute may reflect finite rivalry rather than collaborative industry leadership.</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$4.5B divestiture program and focus on 12 most productive managed operations represents significant portfolio reinvention post-Newcrest acquisition [1]. Newmont has evolved from a gold-only miner to a gold-copper producer, with 150,000+ tons of annual copper production providing diversification. The 2026 'trough year' investment strategy to unlock higher grades at Boddington (2027) and Tanami Expansion 2 (H2 2027) shows multi-year strategic planning.</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Returning $3.4B to shareholders while simultaneously investing in mine reinvestment during a 'trough year' and issuing a $6B buyback authorization requires balanced courage [1]. The decision to guide lower 2026 production (5.3M oz vs 5.7M in 2025) while transparently explaining the 'work year' concept demonstrates honest leadership rather than short-term earnings management.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Newmont is the world's premier gold producer trading at 8.9x forward P/E with record $7.3B free cash flow, $7.2B net income, and AISC of $1,358/oz versus gold prices that J.P. Morgan projects could reach $5,000/oz [1]. The company completed $4.5B in divestitures to focus on 12 high-quality managed operations, reduced debt by $3.4B to a net cash position, and announced a $6B buyback program alongside a 4% dividend increase. The 2026 'trough year' (5.3M oz production) is explicitly designed to unlock higher grades at Boddington and Tanami for 2027-2028 production inflection. ROE of 22.3% and 31.3% profit margins demonstrate exceptional capital efficiency.</w:t>
      </w:r>
    </w:p>
    <w:p>
      <w:pPr>
        <w:spacing w:after="120"/>
      </w:pPr>
      <w:r>
        <w:rPr>
          <w:rFonts w:ascii="Calibri" w:hAnsi="Calibri"/>
          <w:b w:val="0"/>
          <w:color w:val="3A4A28"/>
          <w:sz w:val="20"/>
        </w:rPr>
        <w:t>The bear case includes the Nevada Gold Mines JV dispute with Barrick Gold that could take years to resolve and distract management attention [1]. 2026 production guidance of 5.3M oz (down from 5.7M) with AISC rising to $1,680/oz represents meaningful cost inflation. The stock's 155% 12-month rally may have priced in the gold bull market, and any gold price correction below $2,500/oz would significantly compress margins. Potential 'windfall taxes' in Australia and Canada represent regulatory overhang for a company reporting $7.2B profits. Copper market volatility and geopolitical risks across 8+ operating countries add operational complexity.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$6B share buyback program and 4% quarterly dividend increase providing significant capital return in 2026-2027 from the net cash balance sheet [1]</w:t>
      </w:r>
    </w:p>
    <w:p>
      <w:pPr>
        <w:spacing w:before="40" w:after="40"/>
        <w:ind w:left="283"/>
      </w:pPr>
      <w:r>
        <w:rPr>
          <w:rFonts w:ascii="Calibri" w:hAnsi="Calibri"/>
          <w:b/>
          <w:color w:val="4A6B25"/>
          <w:sz w:val="20"/>
        </w:rPr>
        <w:t xml:space="preserve">2. </w:t>
      </w:r>
      <w:r>
        <w:rPr>
          <w:rFonts w:ascii="Calibri" w:hAnsi="Calibri"/>
          <w:b w:val="0"/>
          <w:color w:val="3A4A28"/>
          <w:sz w:val="20"/>
        </w:rPr>
        <w:t>Boddington stripping campaign completion in 2026 unlocking access to higher gold and copper grades starting 2027, driving production recovery toward 6M+ oz [1]</w:t>
      </w:r>
    </w:p>
    <w:p>
      <w:pPr>
        <w:spacing w:before="40" w:after="40"/>
        <w:ind w:left="283"/>
      </w:pPr>
      <w:r>
        <w:rPr>
          <w:rFonts w:ascii="Calibri" w:hAnsi="Calibri"/>
          <w:b/>
          <w:color w:val="4A6B25"/>
          <w:sz w:val="20"/>
        </w:rPr>
        <w:t xml:space="preserve">3. </w:t>
      </w:r>
      <w:r>
        <w:rPr>
          <w:rFonts w:ascii="Calibri" w:hAnsi="Calibri"/>
          <w:b w:val="0"/>
          <w:color w:val="3A4A28"/>
          <w:sz w:val="20"/>
        </w:rPr>
        <w:t>Tanami Expansion 2 completion in H2 2027 adding production capacity from one of Newmont's highest-grade underground operations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Nevada Gold Mines JV dispute with Barrick Gold alleging resource diversion to Fourmile project could take years to resolve and create governance overhang [1]</w:t>
      </w:r>
    </w:p>
    <w:p>
      <w:pPr>
        <w:spacing w:before="40" w:after="40"/>
        <w:ind w:left="283"/>
      </w:pPr>
      <w:r>
        <w:rPr>
          <w:rFonts w:ascii="Calibri" w:hAnsi="Calibri"/>
          <w:b/>
          <w:color w:val="4A6B25"/>
          <w:sz w:val="20"/>
        </w:rPr>
        <w:t xml:space="preserve">2. </w:t>
      </w:r>
      <w:r>
        <w:rPr>
          <w:rFonts w:ascii="Calibri" w:hAnsi="Calibri"/>
          <w:b w:val="0"/>
          <w:color w:val="3A4A28"/>
          <w:sz w:val="20"/>
        </w:rPr>
        <w:t>Gold price correction risk — a decline to $2,500/oz from current levels above $3,500 would compress margins significantly despite low AISC [1]</w:t>
      </w:r>
    </w:p>
    <w:p>
      <w:pPr>
        <w:spacing w:before="40" w:after="40"/>
        <w:ind w:left="283"/>
      </w:pPr>
      <w:r>
        <w:rPr>
          <w:rFonts w:ascii="Calibri" w:hAnsi="Calibri"/>
          <w:b/>
          <w:color w:val="4A6B25"/>
          <w:sz w:val="20"/>
        </w:rPr>
        <w:t xml:space="preserve">3. </w:t>
      </w:r>
      <w:r>
        <w:rPr>
          <w:rFonts w:ascii="Calibri" w:hAnsi="Calibri"/>
          <w:b w:val="0"/>
          <w:color w:val="3A4A28"/>
          <w:sz w:val="20"/>
        </w:rPr>
        <w:t>2026 cost inflation (AISC guided to $1,680/oz vs $1,358/oz in 2025) with lower production creates a less favorable earnings profile if gold prices stabilize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Gold mining is an inherently physical business requiring geological expertise, heavy equipment, and on-site operations that AI cannot replicate [1]. AI can enhance exploration targeting, predictive equipment maintenance, and mine planning optimization, all of which are additive to Newmont's operations. Gold itself serves as a monetary hedge whose demand is driven by central bank reserves and investor sentiment — dynamics immune to AI disruption. Newmont's 150,000+ tons of annual copper production provides additional exposure to AI data center construction materials.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Newmont Corporation Q4 2025 and Full Year 2025 Results,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Newmont Corporation corporate profile and portfolio optimization,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Newmont Corporation ESG and responsible mining materials,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NEM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