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NEO</w:t>
      </w:r>
      <w:r>
        <w:rPr>
          <w:rFonts w:ascii="Calibri" w:hAnsi="Calibri"/>
          <w:b/>
          <w:color w:val="1A2010"/>
          <w:sz w:val="40"/>
        </w:rPr>
        <w:t xml:space="preserve">  NeoGenomics, Inc.</w:t>
      </w:r>
    </w:p>
    <w:p>
      <w:pPr>
        <w:spacing w:after="120"/>
      </w:pPr>
      <w:r>
        <w:rPr>
          <w:rFonts w:ascii="Calibri" w:hAnsi="Calibri"/>
          <w:b/>
          <w:color w:val="6E8450"/>
          <w:sz w:val="18"/>
        </w:rPr>
        <w:t>GROWTH SLEEVE · 2026-04-20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NeoGenomics, Inc. operates a network of cancer-focused testing laboratories in the United States and the United Kingdom. The company provides cytogenetics, FISH, flow cytometry, immunohistochemistry, molecular testing, and next-generation sequencing (NGS) services to hospitals, academic centers, oncologists, pharmaceutical companies, and clinical laboratories. Founded in 2001, headquartered in Fort Myers, Florida.</w:t>
      </w:r>
    </w:p>
    <w:p>
      <w:r>
        <w:rPr>
          <w:rFonts w:ascii="Calibri" w:hAnsi="Calibri"/>
          <w:b/>
          <w:color w:val="6E8450"/>
          <w:sz w:val="18"/>
        </w:rPr>
        <w:t>2,500 Employees · https://www.neogenomics.com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NeoGenomics has successfully built out its NGS (next-generation sequencing) platform, achieving 22-23% NGS revenue growth in 2025, and is launching RaDaR ST (a minimal residual disease monitoring product) in early 2026 — representing meaningful new product development in precision oncology diagnostics [1][2]. AI Deployment (1/2): The company has appointed a VP of Digital Strategy (Elizabeth Floegel) focused on leveraging AI and automation for operational efficiency and improved diagnostic outcomes, though quantified savings or AI-specific revenue have not been disclosed [3]. Market Share Leadership (1/2): NeoGenomics is a meaningful player in oncology diagnostics but competes against larger players including Quest, Labcorp, and Foundation Medicine; it is not the category leader but holds differentiated positioning as a cancer-focused pure-play [1]. Product Pipeline (1/2): RaDaR ST launch expected with mid-single-digit million revenue contribution; continued NGS expansion provides near-term visibility, though pipeline beyond RaDaR is not well-detailed [2]. R&amp;D Intensity (1/1): NeoGenomics invests meaningfully in molecular and NGS capabilities relative to specialty diagnostic peers, evidenced by its expanding test menu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NeoGenomics' mission — 'We save lives by improving patient care' through cancer diagnostics — is specific, thoughtful, and connects the company's work to a genuine life-saving purpose. Leadership references it in strategic communications, and the focus on cancer testing gives it distinctive emotional weight compared to generic lab company messaging [4][5]. Community Impact (1/2): The 2024 CSR Report highlights environmental initiatives (310 tons recycled via NeoGreen program) and community engagement, though specific charitable dollar amounts or distinctive programs are limited compared to large-cap healthcare companies [5]. Employee Retention (1/2): The 2023 Employee Engagement Survey showed improvement in Employee Happiness and Engagement metrics, with voluntary turnover decreased to 13% — meaningful improvement though 13% is approximately industry average for healthcare [5]. Insider Buying (0/2): President Warren Stone sold $276,682 in shares in January 2026; other insider transactions appear to be compensation-related grants, with no evidence of net insider buying with personal funds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NeoGenomics shows strong revenue growth and manageable leverage offset by persistent unprofitability. D/E of 48.9% is well below the 70% target, scoring perfectly [7]. Revenue grew 10.6% YoY to $727M with a 3-year CAGR of 12.6%, both exceeding targets [1][7]. Forward P/E of 25.8x is reasonable for a growth diagnostics company (0.86 score). However, profit margin of -14.9% and ROE of -12.4% both score zero — the company has not achieved GAAP profitability despite $727M in revenue [7]. PEG of 2.09 is moderate (0.46 score), reflecting growth priced in but not cheaply. Forward EPS guidance of $0.19 (adjusted) for 2026 suggests profitability inflection approaching. Liquidity passes at $15.6M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NeoGenomics has a genuine purpose in cancer diagnostics that aligns with infinite-game thinking, but recent leadership instability undermines organizational continuity. The CEO transition to Tony Zook in April 2025 marks the latest in a series of leadership changes, and Glassdoor reviews cite concerns about 'new leadership sacrificing long-term vision for short-term impact.' The company plays in a market that matters — improving cancer diagnosis — but execution has been uneven.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 save lives by improving patient care' connected to cancer diagnostics is a genuine cause with real-world impact. The focus on oncology — where accurate diagnostics directly influence treatment decisions and patient survival — gives NeoGenomics a purpose that transcends financial metrics [4]. However, the cause has not been tested through decades of consistent execution; the company is only 25 years old and has changed leadership and strategy multiple times. It is a genuine but partially lived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3.3/5 (487 reviews) is below average. Employee reviews cite 'new leadership seems to have sacrificed long-term vision for short-term impact' and 'resistance to innovation — getting lapped by other labs' [3]. Voluntary turnover of 13% has improved but CEO transitions (Tony Zook appointed April 2025) create organizational uncertainty. The pattern of leadership change undermines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NeoGenomics positions itself as a cancer diagnostics pure-play against larger competitors, but competitive language focuses on differentiation and market positioning rather than learning from rivals. Management does not publicly reference Quest, Labcorp, or Foundation Medicine as worthy rivals whose strengths inform NeoGenomics' 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NeoGenomics has evolved from basic cytogenetics into next-generation sequencing and molecular diagnostics, representing meaningful strategic evolution. The NGS pivot (now growing 22-23%) and RaDaR minimal residual disease launch show the company adapting its capabilities to precision medicine trends [1][2]. These are incremental evolutions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NGS capabilities and RaDaR product development while still unprofitable shows willingness to prioritize long-term capability over immediate earnings. The company guides to $55-57M adjusted EBITDA in 2026 while continuing to invest in platform expansion [2]. However, management's ability to sustain these investments through the current profitability trough is unproven under new CEO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NeoGenomics offers pure-play exposure to the precision oncology diagnostics market, with revenue growing 10.6% YoY to $727M driven by 22-23% NGS growth and an expanding test menu [1][2]. The company guides to $793-801M revenue and $0.19 adjusted EPS in 2026, representing a profitability inflection from -$0.84 trailing EPS [2][7]. RaDaR ST (minimal residual disease monitoring) launch adds a high-margin, clinically differentiated product to the portfolio, while gross margin expansion of 100-120 bps signals improving operating leverage [2]. At $8.35/share with forward P/E of 25.8x on $0.32 forward EPS, the stock is reasonably valued for a diagnostics company approaching profitability.</w:t>
      </w:r>
    </w:p>
    <w:p>
      <w:pPr>
        <w:spacing w:after="120"/>
      </w:pPr>
      <w:r>
        <w:rPr>
          <w:rFonts w:ascii="Calibri" w:hAnsi="Calibri"/>
          <w:b w:val="0"/>
          <w:color w:val="3A4A28"/>
          <w:sz w:val="20"/>
        </w:rPr>
        <w:t>The bear case centers on persistent unprofitability and execution risk. Despite $727M in revenue, NeoGenomics still generates -14.9% profit margin and -12.4% ROE — the path to GAAP profitability remains unproven [7]. CEO Tony Zook was appointed only in April 2025 and faces a Glassdoor culture score of 3.3/5 with employees citing 'resistance to innovation' and 'getting lapped by other labs' — a dangerous perception in a rapidly evolving genomics market [3]. AI-powered pathology from Paige AI, PathAI, and Google Health poses medium-term disruption risk to NeoGenomics' image-based diagnostics business lines. Competition from Quest, Labcorp, and Foundation Medicine with vastly greater scale and resources could compress margins as NGS testing commoditizes. The $1.1B market cap offers limited upside if the profitability inflection takes longer than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RaDaR ST minimal residual disease monitoring launch contributing mid-single-digit millions in 2026 revenue, establishing NeoGenomics in the high-growth liquid biopsy market segment</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guided $55-57M adjusted EBITDA in 2026 and $0.19 adjusted EPS, potentially triggering re-rating from unprofitable growth to profitable diagnostics platform</w:t>
      </w:r>
    </w:p>
    <w:p>
      <w:pPr>
        <w:spacing w:before="40" w:after="40"/>
        <w:ind w:left="283"/>
      </w:pPr>
      <w:r>
        <w:rPr>
          <w:rFonts w:ascii="Calibri" w:hAnsi="Calibri"/>
          <w:b/>
          <w:color w:val="4A6B25"/>
          <w:sz w:val="20"/>
        </w:rPr>
        <w:t xml:space="preserve">3. </w:t>
      </w:r>
      <w:r>
        <w:rPr>
          <w:rFonts w:ascii="Calibri" w:hAnsi="Calibri"/>
          <w:b w:val="0"/>
          <w:color w:val="3A4A28"/>
          <w:sz w:val="20"/>
        </w:rPr>
        <w:t>Continued NGS growth at 22-23% expanding the molecular testing menu and deepening relationships with pharma clients for companion diagnostic partnerships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pathology tools from Paige AI, PathAI, and Google Health could partially automate IHC, cytogenetics, and morphology reading — NeoGenomics' core services — compressing margins and reducing demand for human-operated diagnostic labs over 3-5 years</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(-14.9% profit margin) despite $727M revenue creates cash burn risk; if the profitability inflection delays, the company may need capital raises that dilute shareholders at depressed prices</w:t>
      </w:r>
    </w:p>
    <w:p>
      <w:pPr>
        <w:spacing w:before="40" w:after="40"/>
        <w:ind w:left="283"/>
      </w:pPr>
      <w:r>
        <w:rPr>
          <w:rFonts w:ascii="Calibri" w:hAnsi="Calibri"/>
          <w:b/>
          <w:color w:val="4A6B25"/>
          <w:sz w:val="20"/>
        </w:rPr>
        <w:t xml:space="preserve">3. </w:t>
      </w:r>
      <w:r>
        <w:rPr>
          <w:rFonts w:ascii="Calibri" w:hAnsi="Calibri"/>
          <w:b w:val="0"/>
          <w:color w:val="3A4A28"/>
          <w:sz w:val="20"/>
        </w:rPr>
        <w:t>CEO Tony Zook's April 2025 appointment marks the latest in a series of leadership transitions, creating strategic execution risk; Glassdoor reviews suggest cultural headwinds that could impair the innovation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Cancer diagnostics faces meaningful AI exposure. AI-powered pathology and diagnostic tools from companies like Paige AI, PathAI, and Google Health are demonstrating ability to read tissue slides, identify genetic markers, and interpret molecular data — core activities that NeoGenomics performs with human pathologists and technicians [3]. While regulatory barriers (CLIA certification, FDA approval) provide near-term protection, the long-term trajectory points toward AI augmenting or partially replacing anatomic pathology workflows. NeoGenomics' molecular/NGS testing is more defensible since it involves complex wet-lab chemistry that AI cannot replicate, but image-based diagnostics (IHC, cytogenetics) face real substitution risk as AI pathology matures. AI Opportunity (1/1): NeoGenomics is actively deploying AI internally through its digital strategy initiative, leveraging automation for operational efficiency in lab workflows, and AI capabilities could enhance its diagnostic accuracy and throughput — generating measurable value even if not yet separately reported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NeoGenomics Q4 2025 Earnings Release — revenue $727M (+10.6% YoY), NGS growth 22-23%, February 2026</w:t>
      </w:r>
    </w:p>
    <w:p>
      <w:pPr>
        <w:spacing w:before="20" w:after="20"/>
        <w:ind w:left="170"/>
      </w:pPr>
      <w:r>
        <w:rPr>
          <w:rFonts w:ascii="Calibri" w:hAnsi="Calibri"/>
          <w:b/>
          <w:color w:val="4A6B25"/>
          <w:sz w:val="15"/>
        </w:rPr>
        <w:t xml:space="preserve">2. </w:t>
      </w:r>
      <w:r>
        <w:rPr>
          <w:rFonts w:ascii="Calibri" w:hAnsi="Calibri"/>
          <w:b w:val="0"/>
          <w:color w:val="3A4A28"/>
          <w:sz w:val="17"/>
        </w:rPr>
        <w:t>NeoGenomics 2026 Guidance — revenue $793-801M, adjusted EBITDA $55-57M, adjusted EPS $0.19, RaDaR ST launch</w:t>
      </w:r>
    </w:p>
    <w:p>
      <w:pPr>
        <w:spacing w:before="20" w:after="20"/>
        <w:ind w:left="170"/>
      </w:pPr>
      <w:r>
        <w:rPr>
          <w:rFonts w:ascii="Calibri" w:hAnsi="Calibri"/>
          <w:b/>
          <w:color w:val="4A6B25"/>
          <w:sz w:val="15"/>
        </w:rPr>
        <w:t xml:space="preserve">3. </w:t>
      </w:r>
      <w:r>
        <w:rPr>
          <w:rFonts w:ascii="Calibri" w:hAnsi="Calibri"/>
          <w:b w:val="0"/>
          <w:color w:val="3A4A28"/>
          <w:sz w:val="17"/>
        </w:rPr>
        <w:t>Glassdoor — NeoGenomics Reviews (487 reviews), 3.3/5 rating; AI/digital strategy under VP Elizabeth Floegel,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NeoGenomics Corporate Website — 'We save lives by improving patient care' mission, cancer diagnostics focus</w:t>
      </w:r>
    </w:p>
    <w:p>
      <w:pPr>
        <w:spacing w:before="20" w:after="20"/>
        <w:ind w:left="170"/>
      </w:pPr>
      <w:r>
        <w:rPr>
          <w:rFonts w:ascii="Calibri" w:hAnsi="Calibri"/>
          <w:b/>
          <w:color w:val="4A6B25"/>
          <w:sz w:val="15"/>
        </w:rPr>
        <w:t xml:space="preserve">5. </w:t>
      </w:r>
      <w:r>
        <w:rPr>
          <w:rFonts w:ascii="Calibri" w:hAnsi="Calibri"/>
          <w:b w:val="0"/>
          <w:color w:val="3A4A28"/>
          <w:sz w:val="17"/>
        </w:rPr>
        <w:t>NeoGenomics 2024 CSR Report — NeoGreen recycling program, 13% voluntary turnover, employee engagement improvements</w:t>
      </w:r>
    </w:p>
    <w:p>
      <w:pPr>
        <w:spacing w:before="20" w:after="20"/>
        <w:ind w:left="170"/>
      </w:pPr>
      <w:r>
        <w:rPr>
          <w:rFonts w:ascii="Calibri" w:hAnsi="Calibri"/>
          <w:b/>
          <w:color w:val="4A6B25"/>
          <w:sz w:val="15"/>
        </w:rPr>
        <w:t xml:space="preserve">6. </w:t>
      </w:r>
      <w:r>
        <w:rPr>
          <w:rFonts w:ascii="Calibri" w:hAnsi="Calibri"/>
          <w:b w:val="0"/>
          <w:color w:val="3A4A28"/>
          <w:sz w:val="17"/>
        </w:rPr>
        <w:t>Yahoo Finance — NEO insider transactions, President Stone sold $276K January 2026,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NEO key statistics (D/E 48.9%, ROE -12.4%, profit margin -14.9%, Forward P/E 25.8x),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