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NESR</w:t>
      </w:r>
      <w:r>
        <w:rPr>
          <w:rFonts w:ascii="Calibri" w:hAnsi="Calibri"/>
          <w:b/>
          <w:color w:val="1A2010"/>
          <w:sz w:val="40"/>
        </w:rPr>
        <w:t xml:space="preserve">  National Energy Services Reunited Corp.</w:t>
      </w:r>
    </w:p>
    <w:p>
      <w:pPr>
        <w:spacing w:after="120"/>
      </w:pPr>
      <w:r>
        <w:rPr>
          <w:rFonts w:ascii="Calibri" w:hAnsi="Calibri"/>
          <w:b/>
          <w:color w:val="6E8450"/>
          <w:sz w:val="18"/>
        </w:rPr>
        <w:t>GROWTH SLEEVE · 2026-04-22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NASDAQ · United States</w:t>
      </w:r>
    </w:p>
    <w:p>
      <w:pPr>
        <w:spacing w:after="80"/>
      </w:pPr>
      <w:r>
        <w:rPr>
          <w:rFonts w:ascii="Calibri" w:hAnsi="Calibri"/>
          <w:b w:val="0"/>
          <w:color w:val="3A4A28"/>
          <w:sz w:val="20"/>
        </w:rPr>
        <w:t>National Energy Services Reunited is a leading integrated energy services provider in the Middle East and North Africa, offering production services (hydraulic fracturing, coiled tubing, cementing, stimulation, water management) and drilling &amp; evaluation services (rigs, directional drilling, wireline logging, well testing) primarily to national oil companies including Saudi Aramco.</w:t>
      </w:r>
    </w:p>
    <w:p>
      <w:r>
        <w:rPr>
          <w:rFonts w:ascii="Calibri" w:hAnsi="Calibri"/>
          <w:b/>
          <w:color w:val="6E8450"/>
          <w:sz w:val="18"/>
        </w:rPr>
        <w:t>7,352 Employees · https://www.nesr.com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NESR has grown from a 2017 SPAC into a $1.3B revenue integrated oilfield services company through acquisitions and organic expansion in MENA, but the business model — providing drilling and production services to NOCs — is fundamentally unchanged [1]. AI Deployment (0/2): No evidence of AI-powered products shipping to customers or specific AI-driven cost savings reported; the company references 'digital initiatives' broadly but without quantifiable AI deployment results [2]. Market Share (2/2): NESR is the leading independent oilfield services provider in the MENA region, having secured the largest single hydraulic fracturing contract in sector history with Saudi Aramco's Jafurah project [1]. The company received Aramco's Advanced Technology Contribution Award, validating its competitive position [2]. Pipeline (1/2): The Jafurah frac tender and $300M in new cementing contracts provide strong revenue visibility, with management guiding for 26% revenue growth in 2026 targeting a $2B run rate [1]. R&amp;D Intensity (1/1): NESR invests in proprietary technologies including expandable liner technology, vacuum insulated tubing, and water treatment systems, maintaining above-average R&amp;D intensity for oilfield services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NESR's stated purpose centers on providing innovative energy solutions for the MENA region — a clear but industry-standard mission that does not articulate a distinctive higher purpose beyond operational excellence and regional energy development [2]. Community Impact (1/2): NESR employs 7,352 people primarily in the Middle East, contributing to local economic development and human capital formation in the energy sector. The company's ESG reports reference environmental stewardship and community investment, including water management services, but specific dollar amounts for charitable programs are not disclosed [3]. Employee Retention (0/2): No specific retention data, average tenure, or voluntary turnover figures are publicly available for NESR. Limited employee reviews make it difficult to assess whether the company retains talent for mission-driven reasons [2]. Insider Buying (1/2): Insiders hold 28.8% of shares — a substantial ownership stake by CEO Sherif Foda and the founding team — indicating strong alignment between leadership and shareholders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NESR demonstrates strong financial positioning with exceptionally low leverage (D/E 34.7%) and attractive valuation (forward P/E 10.0x) for a company guiding 26% revenue growth in 2026 [1][5]. Revenue of $1.32B grew 15.9% YoY with a solid 5-year CAGR of 13.2%, reflecting the MENA oilfield services expansion. The primary weakness is profitability — net margin of 3.9% and ROE of 5.5% are below targets, constrained by the capital-intensive nature of drilling and frac services and heavy reinvestment for the Jafurah ramp [1]. Operating cash flow of $264M and FCF of $91M are positive but thin relative to revenue. The balance sheet is clean with $335M debt against $125M cash, and D/E of 34.7% scores perfectly [5]. Liquidity floor easily cleared at $49M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NESR under CEO Sherif Foda has built a regional services champion with strong Aramco relationships and long-term contract visibility. However, the company's strategic horizon is defined by contract cycles and commodity dynamics rather than an enduring purpose that transcends the energy market 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NESR's purpose is rooted in serving the MENA region's energy development needs, but this is fundamentally a market-driven opportunity rather than a Just Cause in Sinek's framework [2]. The company's existence is tied to hydrocarbon demand rather than a vision of a better future. Water management and environmental services represent a nascent 'just cause' element but are small relative to core oilfield operations.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Sherif Foda's 9-year tenure since the 2017 SPAC formation provides leadership continuity, and the 28.8% insider ownership aligns management with outcomes [2][5]. The company has grown headcount to 7,352 in a competitive talent market, suggesting adequate retention. However, no specific employee culture data (Glassdoor, turnover) is available to assess trust beyond leadership stability.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NESR's competitive language focuses on 'winning' contracts from global majors (Schlumberger, Halliburton, Baker Hughes) rather than learning from their strengths [2]. The company's positioning is defined by market share capture in MENA rather than using competitive rivalry as motivation for self-improvement.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NESR's creation itself — assembling a MENA-focused oilfield services company via SPAC and multiple acquisitions — represented meaningful strategic flexibility. The addition of the NEDA (environmental services) segment shows willingness to evolve beyond pure oilfield services toward water management and sustainability [3]. However, the core business model remains tied to hydrocarbon production.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Jafurah contract win required significant upfront capital commitment and operational risk, demonstrating willingness to make large bets on long-term relationships [1]. NESR's continued investment in sustainability (NEDA segment) while the core business is booming shows some willingness to invest in the future rather than maximize near-term returns.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NESR is the dominant independent oilfield services provider in the MENA region, positioned to benefit from a generational growth cycle driven by Saudi Aramco's Jafurah unconventional gas development — the largest single frac tender in sector history [1]. Q4 2025 revenue of $398M grew 15.9% YoY with EPS of $0.32 beating consensus by $0.07, and management guided for 26% revenue growth in 2026 targeting a $2B run rate [1]. At 10.0x forward P/E with a pristine balance sheet (D/E 34.7%), the valuation is compelling relative to the growth trajectory. The company's Aramco Advanced Technology Award and $300M in new cementing contracts validate its competitive moat in a market where global majors struggle to match local capabilities [2]. Zacks upgraded NESR to strong-buy in March 2026 with a $26 price target [1].</w:t>
      </w:r>
    </w:p>
    <w:p>
      <w:pPr>
        <w:spacing w:after="120"/>
      </w:pPr>
      <w:r>
        <w:rPr>
          <w:rFonts w:ascii="Calibri" w:hAnsi="Calibri"/>
          <w:b w:val="0"/>
          <w:color w:val="3A4A28"/>
          <w:sz w:val="20"/>
        </w:rPr>
        <w:t>The bear case centers on concentration risk, margin compression, and geopolitical exposure. NESR derives the vast majority of revenue from the MENA region, primarily Saudi Arabia, creating severe geographic concentration [2]. A change in Aramco's capital spending plans, a sustained oil price decline, or geopolitical instability in the Middle East could materially impact the entire business. Profit margin of 3.9% and ROE of 5.5% are weak, and the Jafurah ramp requires significant upfront investment that is depressing near-term profitability — trailing EPS of $0.52 implies 45.9x P/E despite the low forward multiple [5]. The transition from trailing to forward earnings creates execution risk if the Jafurah scale-up faces delays. Larger competitors (Schlumberger, Halliburton) could undercut NESR on pricing if they prioritize MENA market share. Short interest increased in March 2026, suggesting some institutional skepticism about the growth outlook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Jafurah unconventional gas project ramp-up — the largest single frac tender in oilfield services history, driving NESR toward $2B revenue run rate in 2026 [1]</w:t>
      </w:r>
    </w:p>
    <w:p>
      <w:pPr>
        <w:spacing w:before="40" w:after="40"/>
        <w:ind w:left="283"/>
      </w:pPr>
      <w:r>
        <w:rPr>
          <w:rFonts w:ascii="Calibri" w:hAnsi="Calibri"/>
          <w:b/>
          <w:color w:val="4A6B25"/>
          <w:sz w:val="20"/>
        </w:rPr>
        <w:t xml:space="preserve">2. </w:t>
      </w:r>
      <w:r>
        <w:rPr>
          <w:rFonts w:ascii="Calibri" w:hAnsi="Calibri"/>
          <w:b w:val="0"/>
          <w:color w:val="3A4A28"/>
          <w:sz w:val="20"/>
        </w:rPr>
        <w:t>$300M in new cementing contracts expanding the service portfolio and deepening the Aramco relationship [2]</w:t>
      </w:r>
    </w:p>
    <w:p>
      <w:pPr>
        <w:spacing w:before="40" w:after="40"/>
        <w:ind w:left="283"/>
      </w:pPr>
      <w:r>
        <w:rPr>
          <w:rFonts w:ascii="Calibri" w:hAnsi="Calibri"/>
          <w:b/>
          <w:color w:val="4A6B25"/>
          <w:sz w:val="20"/>
        </w:rPr>
        <w:t xml:space="preserve">3. </w:t>
      </w:r>
      <w:r>
        <w:rPr>
          <w:rFonts w:ascii="Calibri" w:hAnsi="Calibri"/>
          <w:b w:val="0"/>
          <w:color w:val="3A4A28"/>
          <w:sz w:val="20"/>
        </w:rPr>
        <w:t>Zacks upgrade to strong-buy with $26 price target reflecting 26% revenue growth guidance and improving margins as Jafurah scales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geographic concentration in MENA/Saudi Arabia — Aramco capex changes, oil price swings, or regional geopolitical disruption would impact the entire revenue base [2]</w:t>
      </w:r>
    </w:p>
    <w:p>
      <w:pPr>
        <w:spacing w:before="40" w:after="40"/>
        <w:ind w:left="283"/>
      </w:pPr>
      <w:r>
        <w:rPr>
          <w:rFonts w:ascii="Calibri" w:hAnsi="Calibri"/>
          <w:b/>
          <w:color w:val="4A6B25"/>
          <w:sz w:val="20"/>
        </w:rPr>
        <w:t xml:space="preserve">2. </w:t>
      </w:r>
      <w:r>
        <w:rPr>
          <w:rFonts w:ascii="Calibri" w:hAnsi="Calibri"/>
          <w:b w:val="0"/>
          <w:color w:val="3A4A28"/>
          <w:sz w:val="20"/>
        </w:rPr>
        <w:t>Margin compression during Jafurah ramp-up — trailing EPS of $0.52 (45.9x P/E) must transition to forward EPS of $2.39 (10x P/E), creating execution risk if the scale-up faces operational delays [5]</w:t>
      </w:r>
    </w:p>
    <w:p>
      <w:pPr>
        <w:spacing w:before="40" w:after="40"/>
        <w:ind w:left="283"/>
      </w:pPr>
      <w:r>
        <w:rPr>
          <w:rFonts w:ascii="Calibri" w:hAnsi="Calibri"/>
          <w:b/>
          <w:color w:val="4A6B25"/>
          <w:sz w:val="20"/>
        </w:rPr>
        <w:t xml:space="preserve">3. </w:t>
      </w:r>
      <w:r>
        <w:rPr>
          <w:rFonts w:ascii="Calibri" w:hAnsi="Calibri"/>
          <w:b w:val="0"/>
          <w:color w:val="3A4A28"/>
          <w:sz w:val="20"/>
        </w:rPr>
        <w:t>Increasing short interest in March 2026 suggests institutional concern about the gap between current profitability and forward growth expectations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NESR's core business — physical oilfield services including hydraulic fracturing, drilling, cementing, and water treatment in remote MENA locations — is structurally immune to AI disruption [2]. These services require heavy equipment, field crews, and decades of subsurface engineering expertise that AI cannot replace. The energy transition to AI-powered data centers and electrification actually increases near-term demand for oil and gas production services. Saudi Aramco's multi-decade investment in Jafurah unconventional gas demonstrates the enduring need for physical oilfield services. AI may enhance operational efficiency (predictive maintenance, drilling optimization) but it strengthens rather than threatens NESR's position. AI Opportunity (0/1): No evidence of meaningful AI-generated revenue; digital initiatives are operational rather than revenue-generating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NESR Q4 2025 Earnings — $398.26M revenue (15.9% YoY growth), $0.32 EPS (beat by $0.07), 26% FY2026 revenue growth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NESR corporate website and Simply Wall St — executive team, Aramco Advanced Technology Award, digital transformation initiatives, $300M cementing contracts</w:t>
      </w:r>
    </w:p>
    <w:p>
      <w:pPr>
        <w:spacing w:before="20" w:after="20"/>
        <w:ind w:left="170"/>
      </w:pPr>
      <w:r>
        <w:rPr>
          <w:rFonts w:ascii="Calibri" w:hAnsi="Calibri"/>
          <w:b/>
          <w:color w:val="4A6B25"/>
          <w:sz w:val="15"/>
        </w:rPr>
        <w:t xml:space="preserve">3. </w:t>
      </w:r>
      <w:r>
        <w:rPr>
          <w:rFonts w:ascii="Calibri" w:hAnsi="Calibri"/>
          <w:b w:val="0"/>
          <w:color w:val="3A4A28"/>
          <w:sz w:val="17"/>
        </w:rPr>
        <w:t>NESR ESG Report 2023 — environmental stewardship, NEDA segment water management, decarbonization commitment</w:t>
      </w:r>
    </w:p>
    <w:p>
      <w:pPr>
        <w:spacing w:before="20" w:after="20"/>
        <w:ind w:left="170"/>
      </w:pPr>
      <w:r>
        <w:rPr>
          <w:rFonts w:ascii="Calibri" w:hAnsi="Calibri"/>
          <w:b/>
          <w:color w:val="4A6B25"/>
          <w:sz w:val="15"/>
        </w:rPr>
        <w:t xml:space="preserve">4. </w:t>
      </w:r>
      <w:r>
        <w:rPr>
          <w:rFonts w:ascii="Calibri" w:hAnsi="Calibri"/>
          <w:b w:val="0"/>
          <w:color w:val="3A4A28"/>
          <w:sz w:val="17"/>
        </w:rPr>
        <w:t>Markets Daily — Zacks upgrade to strong-buy, $26.00 average analyst price target,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NESR,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