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NEXT</w:t>
      </w:r>
      <w:r>
        <w:rPr>
          <w:rFonts w:ascii="Calibri" w:hAnsi="Calibri"/>
          <w:b/>
          <w:color w:val="1A2010"/>
          <w:sz w:val="40"/>
        </w:rPr>
        <w:t xml:space="preserve">  NextDecade Corporation</w:t>
      </w:r>
    </w:p>
    <w:p>
      <w:pPr>
        <w:spacing w:after="120"/>
      </w:pPr>
      <w:r>
        <w:rPr>
          <w:rFonts w:ascii="Calibri" w:hAnsi="Calibri"/>
          <w:b/>
          <w:color w:val="6E8450"/>
          <w:sz w:val="18"/>
        </w:rPr>
        <w:t>GROWTH SLEEVE · 2026-04-07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NextDecade Corporation is an energy company developing the Rio Grande LNG facility, a 27 million metric ton per annum (mtpa) LNG export project located near Brownsville, Texas. The company has taken final investment decisions on Trains 1-5 and is also developing NEXT Carbon Solutions, one of the largest carbon capture and storage projects in North America. NextDecade is pre-revenue with first LNG production targeted for early 2027.</w:t>
      </w:r>
    </w:p>
    <w:p>
      <w:r>
        <w:rPr>
          <w:rFonts w:ascii="Calibri" w:hAnsi="Calibri"/>
          <w:b/>
          <w:color w:val="6E8450"/>
          <w:sz w:val="18"/>
        </w:rPr>
        <w:t>360 Employees · https://www.next-decade.com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NextDecade secured positive final investment decisions on Trains 4 and 5, expanding planned capacity and executing multiple long-term LNG sale and purchase agreements [1]. However, the company has been in development for over a decade without generating revenue, and the project remains under construction. AI Deployment (0/2): No evidence of AI-powered products or AI-driven operational savings; the company is focused on physical infrastructure construction [2]. Market Share (1/2): NextDecade is developing one of the largest greenfield LNG projects in the US, positioning it as a meaningful player in global LNG supply, though it competes against established operators like Cheniere Energy and Sempra [1]. Pipeline (2/2): Clear pipeline visibility with 5 trains under development, first LNG targeted early 2027, and carbon capture integration providing differentiation with specific timelines [1]. R&amp;D Intensity (0/1): No meaningful R&amp;D spend; the company is a project developer, not a technology innovator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NextDecade's stated purpose is 'providing the world access to lower carbon intensive energy' — clear and relevant but standard for LNG developers seeking to differentiate on environmental grounds [3]. Community Impact (1/2): The company emphasizes safety culture and community engagement near Brownsville, Texas operations, and the NEXT Carbon Solutions project represents genuine environmental investment, though no specific charitable programs with dollar amounts were identified [3]. Employee Retention (0/2): With only 360 employees in a construction-phase company, retention data is unavailable; the organizational structure is still forming [4]. Insider Buying (1/2): CEO Matt Schatzman holds significant equity and a director recently purchased shares on the open market in April 2026, signaling insider conviction [1]. Insider ownership of 45.5% is notably high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NextDecade has no revenue, no earnings, and a severely leveraged balance sheet — $8.7B total debt against $143.8M cash, resulting in D/E of 380% [4]. ROE is -21.2%, profit margin is 0%, and forward P/E is negative (consensus EPS of -$0.97) [4]. The company is burning cash at $169M annually in operating outflows with $4.5B in capital expenditures for facility construction [4]. All infrastructure metrics score at or below floor levels: D/E 380% exceeds the 300% floor, ROE is negative, revenue is zero, and margins are zero. The only path to positive infrastructure is first LNG production in 2027, which remains subject to construction and regulatory risk. Liquidity floor passed: 4.4M avg vol × $8.31 = $36.2M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NextDecade demonstrates some infinite game qualities through its decade-long commitment to building Rio Grande LNG and investment in carbon capture, but the company's existence is tied to a single mega-project rather than an enduring organizational purpose. Success or failure hinges on construction execution and commodity markets, not organizational resilience.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'Providing lower carbon intensive energy to the world' connects the company's LNG business to a broader energy transition narrative [3]. However, this framing is common among LNG developers and functions more as market positioning than a genuine Just Cause. The company's existence depends entirely on one project reaching completion; if Rio Grande LNG fails, the cause disappears with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Matt Schatzman has led the company since 2018 with three decades of energy industry experience, providing leadership stability [2]. The small team of 360 employees suggests a focused, cohesive organization. However, no evidence of exceptional employee culture or empowerment practices was found beyond standard safety commitments.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NextDecade's leadership acknowledging competitors' strengths or framing Cheniere Energy, Sempra, or Venture Global as worthy rivals whose strengths drive improvement [2]. The competitive narrative focuses on project differentiation (carbon capture) rather than learning from established operators.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NextDecade is a single-project company with no demonstrated flexibility. The entire business is Rio Grande LNG — there is no pivot capability, no adjacent business, and no evidence the company could reinvent itself if the LNG market fundamentally shifts [1]. The carbon capture addition is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a multi-billion-dollar greenfield LNG project through years of permitting, financing, and construction requires genuine conviction, especially after the company's stock dropped to $4.75 during the construction period [1][4]. Taking FID on Trains 4 and 5 while still pre-revenue demonstrates willingness to make long-term capital commitments despite near-term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NextDecade offers asymmetric upside as a pre-revenue LNG developer approaching its first commercial production in early 2027. The company has secured FIDs on 5 trains at Rio Grande LNG representing 27 mtpa of capacity, with long-term LNG sale and purchase agreements providing contracted revenue visibility [1]. A director buying shares in April 2026 at ~$8 signals insider conviction, and the 45.5% insider ownership aligns management with shareholders [4]. At $2.2B market cap, the stock trades at a fraction of the facility's replacement cost. The carbon capture integration differentiates NextDecade from peers and may command premium LNG pricing from ESG-conscious buyers [3]. Global LNG demand growth driven by European energy security needs and Asian coal-to-gas switching provides structural tailwinds.</w:t>
      </w:r>
    </w:p>
    <w:p>
      <w:pPr>
        <w:spacing w:after="120"/>
      </w:pPr>
      <w:r>
        <w:rPr>
          <w:rFonts w:ascii="Calibri" w:hAnsi="Calibri"/>
          <w:b w:val="0"/>
          <w:color w:val="3A4A28"/>
          <w:sz w:val="20"/>
        </w:rPr>
        <w:t>The bear case is severe and multi-dimensional. NextDecade carries $8.7B in debt against zero revenue, making it entirely dependent on construction completion and LNG market conditions [4]. Analysts warn that LNG supply growth could outpace demand, creating an oversupplied market by late 2026 that would compress margins on NextDecade's first cargoes [1]. Construction delays or cost overruns at Rio Grande LNG could burn through remaining cash and require dilutive capital raises. Regulatory risks include environmental permits, export authorizations, and potential policy changes under shifting political winds. The stock's $8.31 price represents a 31% decline from its 52-week high of $12.12, reflecting market concerns about execution risk. With $169M annual operating cash burn and $4.5B in capex outflows, the company has no margin for error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LNG production from Train 1 targeted early 2027, transforming NextDecade from a construction-phase developer to a revenue-generating LNG exporter [1]</w:t>
      </w:r>
    </w:p>
    <w:p>
      <w:pPr>
        <w:spacing w:before="40" w:after="40"/>
        <w:ind w:left="283"/>
      </w:pPr>
      <w:r>
        <w:rPr>
          <w:rFonts w:ascii="Calibri" w:hAnsi="Calibri"/>
          <w:b/>
          <w:color w:val="4A6B25"/>
          <w:sz w:val="20"/>
        </w:rPr>
        <w:t xml:space="preserve">2. </w:t>
      </w:r>
      <w:r>
        <w:rPr>
          <w:rFonts w:ascii="Calibri" w:hAnsi="Calibri"/>
          <w:b w:val="0"/>
          <w:color w:val="3A4A28"/>
          <w:sz w:val="20"/>
        </w:rPr>
        <w:t>Additional long-term LNG sale and purchase agreements for Trains 4 and 5, de-risking future revenue and providing contracted cash flow visibility [1]</w:t>
      </w:r>
    </w:p>
    <w:p>
      <w:pPr>
        <w:spacing w:before="40" w:after="40"/>
        <w:ind w:left="283"/>
      </w:pPr>
      <w:r>
        <w:rPr>
          <w:rFonts w:ascii="Calibri" w:hAnsi="Calibri"/>
          <w:b/>
          <w:color w:val="4A6B25"/>
          <w:sz w:val="20"/>
        </w:rPr>
        <w:t xml:space="preserve">3. </w:t>
      </w:r>
      <w:r>
        <w:rPr>
          <w:rFonts w:ascii="Calibri" w:hAnsi="Calibri"/>
          <w:b w:val="0"/>
          <w:color w:val="3A4A28"/>
          <w:sz w:val="20"/>
        </w:rPr>
        <w:t>Rising global LNG prices driven by European energy security demand and Asian coal-to-gas switching, improving prospective margins on first cargoes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and commissioning risk — delays at Rio Grande LNG could push first revenue past 2027, extending the cash burn period with $8.7B in outstanding debt [4]</w:t>
      </w:r>
    </w:p>
    <w:p>
      <w:pPr>
        <w:spacing w:before="40" w:after="40"/>
        <w:ind w:left="283"/>
      </w:pPr>
      <w:r>
        <w:rPr>
          <w:rFonts w:ascii="Calibri" w:hAnsi="Calibri"/>
          <w:b/>
          <w:color w:val="4A6B25"/>
          <w:sz w:val="20"/>
        </w:rPr>
        <w:t xml:space="preserve">2. </w:t>
      </w:r>
      <w:r>
        <w:rPr>
          <w:rFonts w:ascii="Calibri" w:hAnsi="Calibri"/>
          <w:b w:val="0"/>
          <w:color w:val="3A4A28"/>
          <w:sz w:val="20"/>
        </w:rPr>
        <w:t>LNG oversupply — analysts project supply growth could exceed demand by late 2026, compressing margins on NextDecade's initial cargoes and reducing project economics [1]</w:t>
      </w:r>
    </w:p>
    <w:p>
      <w:pPr>
        <w:spacing w:before="40" w:after="40"/>
        <w:ind w:left="283"/>
      </w:pPr>
      <w:r>
        <w:rPr>
          <w:rFonts w:ascii="Calibri" w:hAnsi="Calibri"/>
          <w:b/>
          <w:color w:val="4A6B25"/>
          <w:sz w:val="20"/>
        </w:rPr>
        <w:t xml:space="preserve">3. </w:t>
      </w:r>
      <w:r>
        <w:rPr>
          <w:rFonts w:ascii="Calibri" w:hAnsi="Calibri"/>
          <w:b w:val="0"/>
          <w:color w:val="3A4A28"/>
          <w:sz w:val="20"/>
        </w:rPr>
        <w:t>Financing risk — with $143.8M cash against $169M annual operating burn and $4.5B capex, any construction cost overruns could require dilutive capital raises at depressed share prices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LNG infrastructure is among the most AI-immune businesses — constructing and operating a 27 mtpa liquefaction facility involves physical engineering, massive capital investment, federal and international regulatory compliance, and long-term bilateral commodity contracts that AI cannot substitute [1][2]. LNG demand may actually increase as AI data centers require enormous electricity, boosting natural gas consumption. No analysts have flagged AI as a risk to LNG infrastructure developers. AI Opportunity (0/1): NextDecade does not generate AI-related revenue; AI may eventually optimize plant operations but the company is pre-commercial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NextDecade Investor Relations — FID announcements for Trains 4 and 5, LNG sale and purchase agreements, and first LNG timeline, 2026</w:t>
      </w:r>
    </w:p>
    <w:p>
      <w:pPr>
        <w:spacing w:before="20" w:after="20"/>
        <w:ind w:left="170"/>
      </w:pPr>
      <w:r>
        <w:rPr>
          <w:rFonts w:ascii="Calibri" w:hAnsi="Calibri"/>
          <w:b/>
          <w:color w:val="4A6B25"/>
          <w:sz w:val="15"/>
        </w:rPr>
        <w:t xml:space="preserve">2. </w:t>
      </w:r>
      <w:r>
        <w:rPr>
          <w:rFonts w:ascii="Calibri" w:hAnsi="Calibri"/>
          <w:b w:val="0"/>
          <w:color w:val="3A4A28"/>
          <w:sz w:val="17"/>
        </w:rPr>
        <w:t>NextDecade Senior Leadership — CEO Matt Schatzman profile, 30+ years energy industry experience,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NextDecade ESG and Safety — carbon capture and storage project, environmental commitments,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NEXT (NextDecade),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