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NE</w:t>
      </w:r>
      <w:r>
        <w:rPr>
          <w:rFonts w:ascii="Calibri" w:hAnsi="Calibri"/>
          <w:b/>
          <w:color w:val="1A2010"/>
          <w:sz w:val="40"/>
        </w:rPr>
        <w:t xml:space="preserve">  Noble Corporation plc</w:t>
      </w:r>
    </w:p>
    <w:p>
      <w:pPr>
        <w:spacing w:after="120"/>
      </w:pPr>
      <w:r>
        <w:rPr>
          <w:rFonts w:ascii="Calibri" w:hAnsi="Calibri"/>
          <w:b/>
          <w:color w:val="6E8450"/>
          <w:sz w:val="18"/>
        </w:rPr>
        <w:t>GROWTH SLEEVE · 2026-04-17 · Inspire: 40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Drilling · NYSE · United States</w:t>
      </w:r>
    </w:p>
    <w:p>
      <w:pPr>
        <w:spacing w:after="80"/>
      </w:pPr>
      <w:r>
        <w:rPr>
          <w:rFonts w:ascii="Calibri" w:hAnsi="Calibri"/>
          <w:b w:val="0"/>
          <w:color w:val="3A4A28"/>
          <w:sz w:val="20"/>
        </w:rPr>
        <w:t>Noble Corporation is an offshore drilling contractor operating a fleet of mobile offshore drilling units (floaters and jackups) for the oil and gas industry worldwide. The company serves clients in Africa, Far East Asia, the North Sea, Oceania, South America, and the U.S. Gulf of America, with a $7.5B contract backlog providing multi-year revenue visibility.</w:t>
      </w:r>
    </w:p>
    <w:p>
      <w:r>
        <w:rPr>
          <w:rFonts w:ascii="Calibri" w:hAnsi="Calibri"/>
          <w:b/>
          <w:color w:val="6E8450"/>
          <w:sz w:val="18"/>
        </w:rPr>
        <w:t>4,500 Employees · https://www.noblecorp.com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Noble successfully merged with Maersk Drilling in 2022, creating a larger, more diversified fleet and pushing total backlog to $7.5B as of early 2026 [1]. The integration delivered fleet optimization and cost synergies. AI Deployment (0/2): No evidence of AI-powered products or quantified AI-driven efficiencies in Noble's drilling operations [2]. Market Share (1/2): Noble is a meaningful player in the offshore drilling market with 15 tier-one drillships and 3 D rigs, but does not dominate the sector the way Transocean or Valaris do in specific segments [1]. Pipeline (1/2): Management outlined a 2027 scenario targeting $1.3B EBITDA with 13 of 15 drillships working, and $2.3B of backlog rolling into 2026 revenue, though no specific next-gen technology launches [1]. R&amp;D Intensity (1/1): Noble invests in fleet modernization and operational technology above industry average for drilling contractors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Noble's mission emphasizes safety, operational excellence, and sustainability in offshore drilling — clear but not distinctive among drilling peers [3]. Community Impact (1/2): Noble publishes a sustainability report with 14 material topics across environmental, social, and governance pillars, and has committed to a 20% carbon-intensity reduction by 2030, though specific dollar amounts for community investment are not disclosed [3]. Employee Retention (0/2): Glassdoor ratings of 3.5/5 for culture and values are average, with employee reviews citing 'lack of leadership and integrity of upper management' as a concern [2]. No data on voluntary turnover or average tenure. Insider Buying (1/2): Limited insider transaction data; some institutional trimming noted with a $6M position reduction amid stock appreciation, but no evidence of significant net insider selling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Noble's balance sheet is relatively clean with D/E of 46.9%, but profitability metrics are weak — ROE of only 4.7% and profit margin of 7.0% reflect the capital-intensive nature of offshore drilling and a down-cycle in day rates [4]. Forward P/E of 20.8x is reasonable given the $7.5B backlog and 2027 EBITDA target of $1.3B [1]. Revenue declined 20% YoY in the most recent period as rig transitions and scheduled downtime impacted utilization [1]. The 148% payout ratio on the newly initiated $2.00/share dividend is unsustainable at current earnings levels. Liquidity is ample: 2.1M avg daily volume × $48.50 = ~$100M daily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Noble plays a mixed infinite/finite game. The company's century-long history (founded 1921) and $7.5B backlog demonstrate staying power, but the recent emergence from bankruptcy in 2021, aggressive dividend initiation despite high payout ratios, and cyclical industry dynamics suggest quarterly-focused capital allocation decisions that Sinek would view skeptically.</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Noble's purpose centers on safe, efficient offshore energy production — a functional mission that serves the global energy system but lacks the aspirational quality of a true Just Cause (1/3 points). The company exists to drill wells profitably for oil companies, which is a necessary service but not a vision of a future that inspires sacrifice [3].</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Adequate trust (1/2 points). Noble employs 4,500 people with stable operations across global regions. CEO Robert Eifler has led since 2020 providing leadership continuity, but Glassdoor reviews (3.5/5 culture) and complaints about upper management integrity suggest average organizational trust for the industry [2].</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Infinite competitive mindset (1/1 point). Noble's merger with Maersk Drilling in 2022 demonstrated a willingness to learn from and combine with a worthy rival rather than compete destructively. Management acknowledges Transocean and Valaris strengths while focusing on fleet quality and backlog differentiation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Some flexibility (1/2 points). Noble has evolved through bankruptcy restructuring (2020-2021) and the transformative Maersk Drilling merger (2022), adapting its fleet composition and geographic focus. However, the core business model — providing rigs under contract — remains unchanged since founding. The sustainability commitment (20% carbon intensity reduction by 2030) is incremental, not transformative [3].</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clear evidence of courageous long-term decisions (0/2 points). The initiation of a $2.00/share dividend at a 148% payout ratio prioritizes near-term shareholder returns over balance sheet strength. The bankruptcy filing in 2020 and subsequent re-leveraging suggest a pattern of finite-game capital allocation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Noble Corporation offers compelling offshore drilling exposure with a $7.5B backlog providing multi-year revenue visibility and a clear path to $1.3B EBITDA and $600M free cash flow by 2027 [1]. The D/E ratio of 46.9% is conservative for the sector, and the fleet of 15 tier-one drillships positions Noble well in a tightening offshore supply environment where backlog grew 30% YoY even as Brent crude fell 15% [1]. The forward P/E of 20.8x is reasonable given the earnings recovery trajectory, and the 4.1% dividend yield provides income while waiting for the ramp.</w:t>
      </w:r>
    </w:p>
    <w:p>
      <w:pPr>
        <w:spacing w:after="120"/>
      </w:pPr>
      <w:r>
        <w:rPr>
          <w:rFonts w:ascii="Calibri" w:hAnsi="Calibri"/>
          <w:b w:val="0"/>
          <w:color w:val="3A4A28"/>
          <w:sz w:val="20"/>
        </w:rPr>
        <w:t>The bear case centers on cyclicality and near-term earnings weakness. Revenue declined 20% YoY in the latest quarter due to rig transitions and scheduled downtime, and profit margins of 7% are well below what the backlog implies [4]. The 148% payout ratio is unsustainable — the dividend either gets cut or earnings must recover significantly. Offshore drilling remains tied to oil prices and E&amp;P capital budgets, which are volatile and subject to energy transition pressures. The 2020 bankruptcy is a reminder that this is a boom-bust industry. ESG pressures could constrain financing and raise compliance costs, with Noble's 20% carbon-intensity reduction target by 2030 adding execution risk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$7.5B backlog with $2.3B rolling into 2026 revenue provides near-term earnings visibility and supports recovery to targeted $1.3B EBITDA by 2027 [1]</w:t>
      </w:r>
    </w:p>
    <w:p>
      <w:pPr>
        <w:spacing w:before="40" w:after="40"/>
        <w:ind w:left="283"/>
      </w:pPr>
      <w:r>
        <w:rPr>
          <w:rFonts w:ascii="Calibri" w:hAnsi="Calibri"/>
          <w:b/>
          <w:color w:val="4A6B25"/>
          <w:sz w:val="20"/>
        </w:rPr>
        <w:t xml:space="preserve">2. </w:t>
      </w:r>
      <w:r>
        <w:rPr>
          <w:rFonts w:ascii="Calibri" w:hAnsi="Calibri"/>
          <w:b w:val="0"/>
          <w:color w:val="3A4A28"/>
          <w:sz w:val="20"/>
        </w:rPr>
        <w:t>Tightening offshore rig supply — fleet additions are minimal industry-wide, giving Noble pricing power on contract renewals as 13 of 15 drillships target full utilization [1]</w:t>
      </w:r>
    </w:p>
    <w:p>
      <w:pPr>
        <w:spacing w:before="40" w:after="40"/>
        <w:ind w:left="283"/>
      </w:pPr>
      <w:r>
        <w:rPr>
          <w:rFonts w:ascii="Calibri" w:hAnsi="Calibri"/>
          <w:b/>
          <w:color w:val="4A6B25"/>
          <w:sz w:val="20"/>
        </w:rPr>
        <w:t xml:space="preserve">3. </w:t>
      </w:r>
      <w:r>
        <w:rPr>
          <w:rFonts w:ascii="Calibri" w:hAnsi="Calibri"/>
          <w:b w:val="0"/>
          <w:color w:val="3A4A28"/>
          <w:sz w:val="20"/>
        </w:rPr>
        <w:t>AI data center boom driving incremental global electricity demand, supporting long-term oil and gas exploration activity in deepwater basins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Oil price volatility and E&amp;P budget cuts — a sustained drop in Brent below $60 could trigger contract deferrals and lower day rates, compressing margins further from the current 7% profit margin [4]</w:t>
      </w:r>
    </w:p>
    <w:p>
      <w:pPr>
        <w:spacing w:before="40" w:after="40"/>
        <w:ind w:left="283"/>
      </w:pPr>
      <w:r>
        <w:rPr>
          <w:rFonts w:ascii="Calibri" w:hAnsi="Calibri"/>
          <w:b/>
          <w:color w:val="4A6B25"/>
          <w:sz w:val="20"/>
        </w:rPr>
        <w:t xml:space="preserve">2. </w:t>
      </w:r>
      <w:r>
        <w:rPr>
          <w:rFonts w:ascii="Calibri" w:hAnsi="Calibri"/>
          <w:b w:val="0"/>
          <w:color w:val="3A4A28"/>
          <w:sz w:val="20"/>
        </w:rPr>
        <w:t>Dividend sustainability — the 148% payout ratio is unsustainable at current earnings; a dividend cut would damage investor confidence and the stock price [4]</w:t>
      </w:r>
    </w:p>
    <w:p>
      <w:pPr>
        <w:spacing w:before="40" w:after="40"/>
        <w:ind w:left="283"/>
      </w:pPr>
      <w:r>
        <w:rPr>
          <w:rFonts w:ascii="Calibri" w:hAnsi="Calibri"/>
          <w:b/>
          <w:color w:val="4A6B25"/>
          <w:sz w:val="20"/>
        </w:rPr>
        <w:t xml:space="preserve">3. </w:t>
      </w:r>
      <w:r>
        <w:rPr>
          <w:rFonts w:ascii="Calibri" w:hAnsi="Calibri"/>
          <w:b w:val="0"/>
          <w:color w:val="3A4A28"/>
          <w:sz w:val="20"/>
        </w:rPr>
        <w:t>ESG and regulatory pressure on offshore drilling could constrain financing access, increase compliance costs, and limit the company's ability to win contracts with ESG-focused operators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Offshore drilling is a physical-world, capital-intensive operation that AI structurally cannot displace — you need rigs, crews, and deepwater engineering to extract hydrocarbons from the ocean floor [2]. AI may incrementally improve predictive maintenance and drilling optimization, but the core business of providing floating drilling platforms under multi-year contracts is immune to AI substitution. As global energy demand grows and AI data centers increase electricity needs, offshore oil and gas exploration benefits from rising demand [1]. AI Opportunity (0/1): Noble does not generate revenue from AI products or services; any AI use is limited to internal operational efficiency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40</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Noble Corporation Q4 and Full Year 2025 Earnings Release — $3.29B revenue, $216.7M net income, $7.5B backlog, February 2026</w:t>
      </w:r>
    </w:p>
    <w:p>
      <w:pPr>
        <w:spacing w:before="20" w:after="20"/>
        <w:ind w:left="170"/>
      </w:pPr>
      <w:r>
        <w:rPr>
          <w:rFonts w:ascii="Calibri" w:hAnsi="Calibri"/>
          <w:b/>
          <w:color w:val="4A6B25"/>
          <w:sz w:val="15"/>
        </w:rPr>
        <w:t xml:space="preserve">2. </w:t>
      </w:r>
      <w:r>
        <w:rPr>
          <w:rFonts w:ascii="Calibri" w:hAnsi="Calibri"/>
          <w:b w:val="0"/>
          <w:color w:val="3A4A28"/>
          <w:sz w:val="17"/>
        </w:rPr>
        <w:t>Glassdoor Reviews — Noble Corporation Sugar Land, 3.5/5 culture and values rating,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Noble Corporation Sustainability Report 2024 and ESG disclosures, Sustainalytics medium risk rating</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NE (Noble Corporation), retrieved April 17,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