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NFE</w:t>
      </w:r>
      <w:r>
        <w:rPr>
          <w:rFonts w:ascii="Calibri" w:hAnsi="Calibri"/>
          <w:b/>
          <w:color w:val="1A2010"/>
          <w:sz w:val="40"/>
        </w:rPr>
        <w:t xml:space="preserve">  New Fortress Energy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34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LNG / Natural Gas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New Fortress Energy develops and operates LNG supply chains, terminals, and power plants in the Caribbean, Latin America, and Southeast Asia, providing natural gas as a substitute for heavy fuel oil and diesel. The company is in severe financial distress as of early 2026, with $8.9 billion in total debt, a going concern warning from management, a missed $163.8M interest payment on its 2029 Notes, and a net loss of $1.047 billion in the first nine months of 2025. The company is exploring restructuring options including potential out-of-court or in-court bankruptcy proceedings.</w:t>
      </w:r>
    </w:p>
    <w:p>
      <w:r>
        <w:rPr>
          <w:rFonts w:ascii="Calibri" w:hAnsi="Calibri"/>
          <w:b/>
          <w:color w:val="6E8450"/>
          <w:sz w:val="18"/>
        </w:rPr>
        <w:t>1,200 Employees · https://www.newfortressenergy.com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NFE scores narrowly on innovation given its distress situation. Track record (2/3): the company successfully built the first FLNG (floating LNG) unit and pioneered small-scale LNG terminal infrastructure in markets previously inaccessible to natural gas — a genuine innovation in energy access [1]. AI deployment (0/2): no AI deployment programs cited; the company is in financial restructuring mode [1]. Market share (1/2): NFE established a pioneering position in Caribbean and Latin American LNG distribution, with more than 90% of 2025 revenue contracted [1]. Pipeline (1/2): the Brazil terminal and power plant projects represent a $470M+ contracted EBITDA pipeline from 2026 [1]. R&amp;D intensity (0/1): minimal R&amp;D investment evident in a capital-intensive project company in financial distress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NFE's mission — providing cleaner, more affordable energy to markets dependent on diesel and heavy fuel oil — is genuinely impactful and service-oriented, connecting energy access to economic development in underserved markets [2]. Community impact (1/2): NFE's LNG projects have measurably reduced air pollution and energy costs in Caribbean and Latin American communities previously dependent on diesel generators [2]. Employee retention (1/2): stable operations teams manage complex LNG infrastructure, but the financial distress environment creates retention risk [1]. Insider buying (0/2): no insider buying in the context of a near-bankruptcy situation; management is exploring restructuring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NFE fails across nearly every infrastructure metric. Stock at $1.09 × approximately 5M avg daily volume = ~$5.45M — passes the liquidity threshold. However: ROE of -43.91% (floor, score = 0). Profit margin of -72.92% (floor, score = 0). D/E of 793% far exceeds the 300% floor (score = 0). Revenue growth of -42.3% YoY far exceeds the -20% floor (score = 0). Forward P/E is negative/meaningless. PEG not applicable. The company has a going concern warning, missed an interest payment of $163.8M, and management is evaluating in-court restructuring. Infrastructure score = 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NFE's financial situation — going concern warning, missed interest payment, $8.9B debt on $1.1B equity, management exploring in-court restructuring — represents the terminal expression of a finite-game strategy: the company optimized for aggressive growth through debt financing and now faces potential bankruptcy. Sinek would identify this as a classic finite-game player who ran out of will and resources.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NFE's mission — expanding clean energy access to markets dependent on dirty diesel — is genuinely noble and validated by the real impact of its LNG projects in the Caribbean and Latin America. The Just Cause is real; the company's failure to finance it sustainably is a separate issue from the cause itself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Management's disclosure of going concern doubt, missed interest payments, and active exploration of in-court restructuring indicates an organization in crisis mode. This is the opposite of a high-trust, psychologically safe environment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NFE operated in a specialized LNG infrastructure market with limited direct rivals at its scale. The competitive lens is less relevant when the primary existential challenge is the balance sheet rather than market competition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announced separation of Brazilian operations and exploration of out-of-court restructuring are reactive responses to financial distress rather than proactive Just Cause-driven reinvention. This is financial survival, not existential flexibility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build FLNG 1 and expand aggressively with $8.9B in debt while missing interest payments suggests either insufficient financial discipline or excessive leverage-as-courage misidentification. Courageous leadership invests in long-term capability; reckless leverage destroys it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NFE bull case requires believing the company survives its debt restructuring with equity value intact: the Brazil operations alone could generate $470M+ in contracted EBITDA from 2026 if the assets are preserved through restructuring; the global LNG infrastructure is strategically valuable and would likely attract acquirers at distressed prices. A successful out-of-court restructuring that addresses the $8.9B debt burden could restore equity value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dominant and near-term: the company has disclosed substantial doubt about its ability to continue as a going concern; it missed a $163.8M interest payment on November 17, 2025; the interest coverage ratio is 0.1 (near zero); and management is actively evaluating in-court bankruptcy proceedings. In a Chapter 11 scenario, equity holders typically receive little or nothing. The stock declining from $12.59 to $1.09 (91% in 52 weeks) prices in significant probability of equity wipeout. IOWN's infrastructure score of 0 reflects the near-bankruptcy financial condition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out-of-court debt restructuring that preserves equity value — this would be the single most important catalyst and would likely multiply the stock price by 5–10x from current levels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Brazil operations separation — if the Brazilian terminal and power plant assets are successfully spun off or sold at a value exceeding the allocated debt burden, it could provide liquidity for the corporate restructuring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Natural gas price recovery above $4/MMBtu sustained — higher commodity prices would improve cash flow visibility across NFE's contracted EBITDA base and ease the debt service burden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Bankruptcy risk: management has disclosed going concern doubt and is evaluating in-court restructuring; if Chapter 11 is pursued, equity holders typically receive zero in the distribution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Liquidity crisis: the quick ratio of 0.15 and current ratio of 0.17 indicate the company cannot meet short-term obligations from current assets; additional missed payments would accelerate creditor enforcement actions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Asset seizure risk: lenders have forbearance rights following the missed $163.8M interest payment; if forbearance is not extended, lenders may enforce security interests against LNG terminal assets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NFE's LNG terminal and power infrastructure business is physically immune to AI substitution — LNG liquefaction, regasification terminals, and power plants are capital assets that AI cannot replace. The AI-driven data center energy demand surge is structurally positive for natural gas demand and potentially beneficial for NFE's business model if the company survives its debt crisis [1]. AI Opportunity (0/1): NFE is in financial distress and has no documented AI product revenue [1]. The moderate score reflects that the physical infrastructure business is defensible, but the financial distress overrides most strategic considerations.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New Fortress Energy Q3 2025 10-Q and Going Concern Disclosure,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New Fortress Energy corporate website and investor relations — newfortressenergy.com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Simply Wall St — NFE balance sheet and financial health analysis,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Timothy Sykes — 'New Fortress Energy Faces Financial Turbulence Amid Market Adjustments,'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Quarterly Results — ir.newfortressenergy.com,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