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NFGC</w:t>
      </w:r>
      <w:r>
        <w:rPr>
          <w:rFonts w:ascii="Calibri" w:hAnsi="Calibri"/>
          <w:b/>
          <w:color w:val="1A2010"/>
          <w:sz w:val="40"/>
        </w:rPr>
        <w:t xml:space="preserve">  New Found Gold Corp</w:t>
      </w:r>
    </w:p>
    <w:p>
      <w:pPr>
        <w:spacing w:after="120"/>
      </w:pPr>
      <w:r>
        <w:rPr>
          <w:rFonts w:ascii="Calibri" w:hAnsi="Calibri"/>
          <w:b/>
          <w:color w:val="6E8450"/>
          <w:sz w:val="18"/>
        </w:rPr>
        <w:t>GROWTH SLEEVE · 2026-04-15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Canada</w:t>
      </w:r>
    </w:p>
    <w:p>
      <w:pPr>
        <w:spacing w:after="80"/>
      </w:pPr>
      <w:r>
        <w:rPr>
          <w:rFonts w:ascii="Calibri" w:hAnsi="Calibri"/>
          <w:b w:val="0"/>
          <w:color w:val="3A4A28"/>
          <w:sz w:val="20"/>
        </w:rPr>
        <w:t>New Found Gold is a pre-production gold exploration and development company advancing the Queensway Project in Newfoundland, Canada. The company is focused on resource expansion and early development at Queensway, with a Preliminary Economic Assessment complete and Phase 1 construction targeted for Q1 2027.</w:t>
      </w:r>
    </w:p>
    <w:p>
      <w:r>
        <w:rPr>
          <w:rFonts w:ascii="Calibri" w:hAnsi="Calibri"/>
          <w:b/>
          <w:color w:val="6E8450"/>
          <w:sz w:val="18"/>
        </w:rPr>
        <w:t>50 Employees · https://newfoundgold.ca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NFGC has advanced Queensway from discovery to PEA stage and published resource updates, but it has not launched a producing asset or delivered a transformative pivot [1]. AI Deployment (0/2): No evidence of meaningful AI deployment in drilling, geological modeling, or operations. Market Share (0/2): NFGC is a single-asset junior explorer with no production share in the gold market. Pipeline (2/2): 2026 Queensway drill program is underway with four rigs focused on AFZ Core resource conversion, Bullseye, and Queensway South, plus a US$75M term sheet to advance development and a defined Phase 1 construction start in Q1 2027 [1][2]. R&amp;D Intensity (0/1): Exploration spend is typical for a junior explorer, not differentiated.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NFGC's corporate positioning focuses on discovery and responsible development of the Queensway gold project for shareholders and Newfoundland communities — clear but not distinctive versus other juniors [3]. Community Impact (1/2): Standard Newfoundland community and Indigenous engagement consistent with Canadian mining practice, but no distinctive foundation or dollar-quantified programs. Employee Retention (0/2): No public data on tenure or turnover for a company of ~50 staff. Insider Buying (0/2): No meaningful net insider buying disclosures found; ownership is concentrated with founding shareholder Eric Sprott but no recent buy pattern documented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NFGC is pre-revenue with ROE of -19.6% and a negative forward P/E of -8.96, reflecting sustained net losses typical of a developer [4]. Debt-to-equity is low at 27.2% and the US$75M term sheet adds financing flexibility, but the profit margin is 0% and there is no revenue or earnings stream to score on growth metrics [1][4]. Liquidity is adequate (2.2M avg vol x $2.15 = ~$4.7M daily value), so the $1M liquidity floor is cleared [4]. The Infrastructure score reflects strong D/E offset by negative ROE, negative earnings, and no revenue, producing a calculated score of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NFGC is a single-asset junior with a clear technical goal — advance Queensway to production — and strong backing from Eric Sprott, but its infinite game credentials are limited by a short corporate history, no crisis-tested purpose, and leadership turnover at the top. It is more a project company than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NFGC exists to develop Queensway into a producing gold mine; the purpose is specific and connects shareholders, employees, and Newfoundland stakeholders, but it is fundamentally a single-project cause rather than a durable, industry-shaping Just Cause [1][3]. There is no evidence the cause has been tested through multiple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major cultural red flags surfaced; the company has retained a consistent technical team through the PEA and into the 2026 drill program, and Newfoundland operations have continued uninterrupted [1]. However, there is no public Glassdoor or tenure data to demonstrate above-average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regularly frames Queensway relative to peer Canadian high-grade gold districts and cites operator comparables (Karora, Klondex, Hecla) as reference points for execution rather than competitors to beat [3]. The framing is learning-oriented.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evolved from a pure exploration story to a PEA-stage developer and secured a US$75M term sheet to fund development — a meaningful adaptation from discovery-only to development-plus-construction planning [1][2]. The pivot is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to the 2026 drill program, taking on the US$75M term sheet, and advancing Phase 1 construction planning into 2027 while gold juniors face volatile capital markets shows willingness to invest through uncertainty [1][2]. However, leadership turnover (new Chair appointed 2024) limits evidence of multi-cycle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NFGC offers leveraged exposure to the high-grade Queensway gold discovery in Newfoundland, backed by Eric Sprott and a US$75M term sheet to advance development toward a Q1 2027 Phase 1 construction start and Q1 2028 first production [1][2]. The 2026 drill program is running four rigs on AFZ Core resource conversion plus Bullseye and Queensway South, with recent K2 infill intercepts including 18.86 g/t Au over 2.40 m and 5.29 g/t Au over 11.85 m supporting resource expansion [1]. With gold prices elevated in 2026 and industry capital flowing into high-grade, near-surface assets, NFGC is well-positioned if Queensway advances on schedule.</w:t>
      </w:r>
    </w:p>
    <w:p>
      <w:pPr>
        <w:spacing w:after="120"/>
      </w:pPr>
      <w:r>
        <w:rPr>
          <w:rFonts w:ascii="Calibri" w:hAnsi="Calibri"/>
          <w:b w:val="0"/>
          <w:color w:val="3A4A28"/>
          <w:sz w:val="20"/>
        </w:rPr>
        <w:t>The bear case is substantial. NFGC is pre-revenue with ROE of -19.6% and a negative forward P/E of -8.96, and first production is still approximately two years away with significant permitting, engineering, and construction execution risk [2][4]. The single-asset concentration means any Queensway delay — environmental permitting, cost inflation, or resource downgrade — can materially impair the equity. Phase 1 construction commencing Q1 2027 and production starting Q1 2028 leaves a two-year funding and dilution window where additional equity raises are likely. Gold price volatility and rising industry waste/emissions intensity also pose ESG and economic headwinds [5]. The Infrastructure score of 2/10 reflects a business that is structurally unfinished.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Queensway drill program results across AFZ Core, Bullseye, and Queensway South could drive resource upgrades and re-rate the equity [1]</w:t>
      </w:r>
    </w:p>
    <w:p>
      <w:pPr>
        <w:spacing w:before="40" w:after="40"/>
        <w:ind w:left="283"/>
      </w:pPr>
      <w:r>
        <w:rPr>
          <w:rFonts w:ascii="Calibri" w:hAnsi="Calibri"/>
          <w:b/>
          <w:color w:val="4A6B25"/>
          <w:sz w:val="20"/>
        </w:rPr>
        <w:t xml:space="preserve">2. </w:t>
      </w:r>
      <w:r>
        <w:rPr>
          <w:rFonts w:ascii="Calibri" w:hAnsi="Calibri"/>
          <w:b w:val="0"/>
          <w:color w:val="3A4A28"/>
          <w:sz w:val="20"/>
        </w:rPr>
        <w:t>Conversion of the US$75M term sheet into committed project financing would de-risk Phase 1 construction scheduled for Q1 2027 [2]</w:t>
      </w:r>
    </w:p>
    <w:p>
      <w:pPr>
        <w:spacing w:before="40" w:after="40"/>
        <w:ind w:left="283"/>
      </w:pPr>
      <w:r>
        <w:rPr>
          <w:rFonts w:ascii="Calibri" w:hAnsi="Calibri"/>
          <w:b/>
          <w:color w:val="4A6B25"/>
          <w:sz w:val="20"/>
        </w:rPr>
        <w:t xml:space="preserve">3. </w:t>
      </w:r>
      <w:r>
        <w:rPr>
          <w:rFonts w:ascii="Calibri" w:hAnsi="Calibri"/>
          <w:b w:val="0"/>
          <w:color w:val="3A4A28"/>
          <w:sz w:val="20"/>
        </w:rPr>
        <w:t>Permitting milestones and updated economics (feasibility study) supporting first gold production targeted Q1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status with ROE of -19.6% and continued net losses; further equity dilution likely before Phase 1 construction [4]</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 any Queensway permitting, engineering, or construction delay materially impairs the thesis [2]</w:t>
      </w:r>
    </w:p>
    <w:p>
      <w:pPr>
        <w:spacing w:before="40" w:after="40"/>
        <w:ind w:left="283"/>
      </w:pPr>
      <w:r>
        <w:rPr>
          <w:rFonts w:ascii="Calibri" w:hAnsi="Calibri"/>
          <w:b/>
          <w:color w:val="4A6B25"/>
          <w:sz w:val="20"/>
        </w:rPr>
        <w:t xml:space="preserve">3. </w:t>
      </w:r>
      <w:r>
        <w:rPr>
          <w:rFonts w:ascii="Calibri" w:hAnsi="Calibri"/>
          <w:b w:val="0"/>
          <w:color w:val="3A4A28"/>
          <w:sz w:val="20"/>
        </w:rPr>
        <w:t>Gold price volatility and rising industry waste/emissions intensity could pressure project economics and ESG acceptance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exploration and underground/open-pit mining at a single orebody in Newfoundland is a physical-world operation that AI cannot substitute — drilling, assaying, permitting, and construction all require on-the-ground execution and regulated processes [1][2]. Analysts view juniors like NFGC as being exposed to commodity price and execution risk, not to AI substitution. AI data centers are increasing demand for gold (connectors, electronics) and for physical infrastructure more broadly. AI Opportunity (0/1): No evidence of revenue from AI-related products or services; no quantified AI deployment in geological modeling.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Found Gold news release, 'Commences 2026 Queensway Drill Program; Announces K2 Zone Infill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New Found Gold news release, 'US$75 Million Term Sheet to Advance Queensway Development', 2026</w:t>
      </w:r>
    </w:p>
    <w:p>
      <w:pPr>
        <w:spacing w:before="20" w:after="20"/>
        <w:ind w:left="170"/>
      </w:pPr>
      <w:r>
        <w:rPr>
          <w:rFonts w:ascii="Calibri" w:hAnsi="Calibri"/>
          <w:b/>
          <w:color w:val="4A6B25"/>
          <w:sz w:val="15"/>
        </w:rPr>
        <w:t xml:space="preserve">3. </w:t>
      </w:r>
      <w:r>
        <w:rPr>
          <w:rFonts w:ascii="Calibri" w:hAnsi="Calibri"/>
          <w:b w:val="0"/>
          <w:color w:val="3A4A28"/>
          <w:sz w:val="17"/>
        </w:rPr>
        <w:t>New Found Gold Corp — Leadership page and corporate materials, newfoundgold.ca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NFGC, retrieved April 15, 2026</w:t>
      </w:r>
    </w:p>
    <w:p>
      <w:pPr>
        <w:spacing w:before="20" w:after="20"/>
        <w:ind w:left="170"/>
      </w:pPr>
      <w:r>
        <w:rPr>
          <w:rFonts w:ascii="Calibri" w:hAnsi="Calibri"/>
          <w:b/>
          <w:color w:val="4A6B25"/>
          <w:sz w:val="15"/>
        </w:rPr>
        <w:t xml:space="preserve">5. </w:t>
      </w:r>
      <w:r>
        <w:rPr>
          <w:rFonts w:ascii="Calibri" w:hAnsi="Calibri"/>
          <w:b w:val="0"/>
          <w:color w:val="3A4A28"/>
          <w:sz w:val="17"/>
        </w:rPr>
        <w:t>Investing News Network — 'Gold Miners Under the Spotlight: ESG Performance Now a Make-or-Break Factor',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